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56" w:lineRule="exact"/>
        <w:rPr>
          <w:rFonts w:ascii="黑体" w:hAnsi="黑体" w:eastAsia="黑体" w:cs="黑体"/>
          <w:color w:val="000000"/>
          <w:kern w:val="0"/>
          <w:sz w:val="32"/>
          <w:szCs w:val="32"/>
        </w:rPr>
      </w:pPr>
      <w:r>
        <w:rPr>
          <w:rFonts w:hint="eastAsia"/>
        </w:rPr>
        <w:pict>
          <v:shape id="_x0000_s1030" o:spid="_x0000_s1030" o:spt="136" type="#_x0000_t136" style="position:absolute;left:0pt;margin-left:5.65pt;margin-top:18.3pt;height:81.45pt;width:391.45pt;z-index:251667456;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spacing w:line="556" w:lineRule="exact"/>
        <w:rPr>
          <w:rFonts w:ascii="黑体" w:hAnsi="黑体" w:eastAsia="黑体" w:cs="黑体"/>
          <w:color w:val="000000"/>
          <w:kern w:val="0"/>
          <w:sz w:val="32"/>
          <w:szCs w:val="32"/>
        </w:rPr>
      </w:pPr>
    </w:p>
    <w:p>
      <w:pPr>
        <w:spacing w:line="556" w:lineRule="exact"/>
        <w:rPr>
          <w:rFonts w:ascii="黑体" w:hAnsi="黑体" w:eastAsia="黑体" w:cs="黑体"/>
          <w:color w:val="000000"/>
          <w:kern w:val="0"/>
          <w:sz w:val="32"/>
          <w:szCs w:val="32"/>
        </w:rPr>
      </w:pPr>
    </w:p>
    <w:p>
      <w:pPr>
        <w:spacing w:line="556" w:lineRule="exact"/>
        <w:rPr>
          <w:rFonts w:ascii="黑体" w:hAnsi="黑体" w:eastAsia="黑体" w:cs="黑体"/>
          <w:color w:val="000000"/>
          <w:kern w:val="0"/>
          <w:sz w:val="32"/>
          <w:szCs w:val="32"/>
        </w:rPr>
      </w:pPr>
    </w:p>
    <w:p>
      <w:pPr>
        <w:spacing w:line="556" w:lineRule="exact"/>
        <w:rPr>
          <w:rFonts w:ascii="黑体" w:hAnsi="黑体" w:eastAsia="黑体" w:cs="黑体"/>
          <w:color w:val="000000"/>
          <w:kern w:val="0"/>
          <w:sz w:val="32"/>
          <w:szCs w:val="32"/>
        </w:rPr>
      </w:pPr>
    </w:p>
    <w:p>
      <w:pPr>
        <w:overflowPunct w:val="0"/>
        <w:spacing w:line="556" w:lineRule="exact"/>
        <w:jc w:val="center"/>
        <w:rPr>
          <w:rFonts w:ascii="黑体" w:hAnsi="黑体" w:eastAsia="黑体" w:cs="黑体"/>
          <w:color w:val="000000"/>
          <w:kern w:val="0"/>
          <w:sz w:val="32"/>
          <w:szCs w:val="32"/>
        </w:rPr>
      </w:pPr>
      <w:r>
        <w:rPr>
          <w:rFonts w:hint="eastAsia" w:ascii="仿宋_GB2312" w:hAnsi="Calibri" w:eastAsia="仿宋_GB2312" w:cs="Times New Roman"/>
          <w:sz w:val="32"/>
          <w:szCs w:val="32"/>
        </w:rPr>
        <w:t>滕政发〔2020〕22号</w:t>
      </w:r>
    </w:p>
    <w:p>
      <w:pPr>
        <w:spacing w:line="556" w:lineRule="exact"/>
        <w:rPr>
          <w:rFonts w:ascii="黑体" w:hAnsi="黑体" w:eastAsia="黑体" w:cs="黑体"/>
          <w:color w:val="000000"/>
          <w:kern w:val="0"/>
          <w:sz w:val="32"/>
          <w:szCs w:val="32"/>
        </w:rPr>
      </w:pPr>
      <w:r>
        <w:rPr>
          <w:rFonts w:hint="eastAsia"/>
        </w:rPr>
        <mc:AlternateContent>
          <mc:Choice Requires="wps">
            <w:drawing>
              <wp:anchor distT="0" distB="0" distL="114300" distR="114300" simplePos="0" relativeHeight="251672576" behindDoc="0" locked="0" layoutInCell="1" allowOverlap="1">
                <wp:simplePos x="0" y="0"/>
                <wp:positionH relativeFrom="column">
                  <wp:posOffset>19050</wp:posOffset>
                </wp:positionH>
                <wp:positionV relativeFrom="paragraph">
                  <wp:posOffset>110490</wp:posOffset>
                </wp:positionV>
                <wp:extent cx="5143500" cy="635"/>
                <wp:effectExtent l="0" t="0" r="0" b="0"/>
                <wp:wrapNone/>
                <wp:docPr id="4" name="直接连接符 4"/>
                <wp:cNvGraphicFramePr/>
                <a:graphic xmlns:a="http://schemas.openxmlformats.org/drawingml/2006/main">
                  <a:graphicData uri="http://schemas.microsoft.com/office/word/2010/wordprocessingShape">
                    <wps:wsp>
                      <wps:cNvCnPr/>
                      <wps:spPr>
                        <a:xfrm>
                          <a:off x="1283970" y="332803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5pt;margin-top:8.7pt;height:0.05pt;width:405pt;z-index:251672576;mso-width-relative:page;mso-height-relative:page;" filled="f" stroked="t" coordsize="21600,21600" o:gfxdata="UEsFBgAAAAAAAAAAAAAAAAAAAAAAAFBLAwQKAAAAAACHTuJAAAAAAAAAAAAAAAAABAAAAGRycy9Q&#10;SwMEFAAAAAgAh07iQJi1uDHUAAAABwEAAA8AAABkcnMvZG93bnJldi54bWxNj01PwzAMhu9I/IfI&#10;SNxY2vGxqjSdAMENCa0wds0a01RrnKrJuu7f457g6Oe1Xj8u1pPrxIhDaD0pSBcJCKTam5YaBV+f&#10;bzcZiBA1Gd15QgVnDLAuLy8KnRt/og2OVWwEl1DItQIbY59LGWqLToeF75E4+/GD05HHoZFm0Ccu&#10;d51cJsmDdLolvmB1jy8W60N1dAqm7+zJ7t7j86vfftjDtKvcuDwrdX2VJo8gIk7xbxlmfVaHkp32&#10;/kgmiE7BLX8SGa/uQHCcpTPYz+AeZFnI//7lL1BLAwQUAAAACACHTuJAlT5flfUBAAC2AwAADgAA&#10;AGRycy9lMm9Eb2MueG1srVNNjtMwFN4jcQfLe5o0aWdK1HQWU8oGQSWYA7zaTmLJf7Ldpr0EF0Bi&#10;ByuW7Oc2DMeY56QMA2wQIgvn2e/z5/d9fl5eHbUiB+GDtKam00lOiTDMcmnamt682zxbUBIiGA7K&#10;GlHTkwj0avX0ybJ3lShsZxUXniCJCVXvatrF6KosC6wTGsLEOmEw2VivIeLUtxn30CO7VlmR5xdZ&#10;bz133jIRAq6uxyRdDfxNI1h80zRBRKJqirXFYfTDuEtjtlpC1XpwnWTnMuAfqtAgDR76QLWGCGTv&#10;5R9UWjJvg23ihFmd2aaRTAwaUM00/03N2w6cGLSgOcE92BT+Hy17fdh6InlNZ5QY0HhFdx++fnv/&#10;6fvtRxzvvnwms2RS70KF2Guz9edZcFufFB8br9MftZAjtkCxKJ9fotWnmpZlscjL+WiyOEbCEDCf&#10;zsp5jgCGiIsxm/2kcT7El8JqkoKaKmmSA1DB4VWIeDRCf0DSsjKkr2mxmF/OkRGwgxoFEUPtUFMw&#10;7bA5WCX5RiqVtgTf7q6VJwfAnthscvxShUj8CyydsobQjbghNQrpBPAXhpN4cuiWwbamqQYtOCVK&#10;4CtIERJCFUGqv0Hi0cqkDWLo2LPQZPlocop2lp/wpvbOy7ZDY6Lfi6HslMTmGAScGzl13+M5xo+f&#10;2+o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mLW4MdQAAAAHAQAADwAAAAAAAAABACAAAAA4AAAA&#10;ZHJzL2Rvd25yZXYueG1sUEsBAhQAFAAAAAgAh07iQJU+X5X1AQAAtgMAAA4AAAAAAAAAAQAgAAAA&#10;OQEAAGRycy9lMm9Eb2MueG1sUEsFBgAAAAAGAAYAWQEAAKAFAAAAAA==&#10;">
                <v:path arrowok="t"/>
                <v:fill on="f" focussize="0,0"/>
                <v:stroke weight="2.25pt" color="#FF0000" joinstyle="round"/>
                <v:imagedata o:title=""/>
                <o:lock v:ext="edit" aspectratio="f"/>
              </v:line>
            </w:pict>
          </mc:Fallback>
        </mc:AlternateContent>
      </w:r>
    </w:p>
    <w:p>
      <w:pPr>
        <w:spacing w:line="556" w:lineRule="exact"/>
        <w:jc w:val="center"/>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滕州市人民政府关于持续深入优化</w:t>
      </w:r>
    </w:p>
    <w:p>
      <w:pPr>
        <w:spacing w:line="556" w:lineRule="exact"/>
        <w:jc w:val="center"/>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营商环境的实施意见</w:t>
      </w:r>
    </w:p>
    <w:p>
      <w:pPr>
        <w:spacing w:line="556" w:lineRule="exact"/>
        <w:jc w:val="left"/>
        <w:rPr>
          <w:rFonts w:ascii="仿宋_GB2312" w:hAnsi="宋体" w:eastAsia="仿宋_GB2312" w:cs="仿宋_GB2312"/>
          <w:color w:val="000000"/>
          <w:kern w:val="0"/>
          <w:sz w:val="32"/>
          <w:szCs w:val="32"/>
        </w:rPr>
      </w:pPr>
      <w:bookmarkStart w:id="0" w:name="_GoBack"/>
      <w:bookmarkEnd w:id="0"/>
    </w:p>
    <w:p>
      <w:pPr>
        <w:spacing w:line="556" w:lineRule="exact"/>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各镇人民政府、街道办事处，滕州经济开发区管委会，市政府各部门，各企事业单位：</w:t>
      </w:r>
    </w:p>
    <w:p>
      <w:pPr>
        <w:spacing w:line="556" w:lineRule="exact"/>
        <w:ind w:firstLine="640" w:firstLineChars="200"/>
        <w:rPr>
          <w:rFonts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为认真贯彻习近平新时代中国特色社会主义思想和党的十九大精神，充分激发市场活力和社会创造力，持续深入优化我市营商环境，不断提升创新要素供给和服务水平，根据《山东省人民政府关于持续深入优化营商环境的实施意见》（鲁政字〔2020〕67号）《枣庄市人民政府关于持续深入优化营商环境的实施意见》（枣政字〔2020〕10号）精神，经市委、市政府同意，制定如下实施意见。</w:t>
      </w:r>
    </w:p>
    <w:p>
      <w:pPr>
        <w:spacing w:line="556" w:lineRule="exact"/>
        <w:ind w:firstLine="640" w:firstLineChars="200"/>
        <w:jc w:val="left"/>
        <w:rPr>
          <w:rFonts w:ascii="黑体" w:hAnsi="宋体" w:eastAsia="黑体" w:cs="黑体"/>
          <w:color w:val="000000"/>
          <w:kern w:val="0"/>
          <w:sz w:val="32"/>
          <w:szCs w:val="32"/>
        </w:rPr>
      </w:pPr>
      <w:r>
        <w:rPr>
          <w:rFonts w:ascii="黑体" w:hAnsi="宋体" w:eastAsia="黑体" w:cs="黑体"/>
          <w:color w:val="000000"/>
          <w:kern w:val="0"/>
          <w:sz w:val="32"/>
          <w:szCs w:val="32"/>
        </w:rPr>
        <w:t>一、全面提升企业便利化水平</w:t>
      </w:r>
    </w:p>
    <w:p>
      <w:pPr>
        <w:spacing w:line="556" w:lineRule="exact"/>
        <w:ind w:firstLine="640" w:firstLineChars="200"/>
        <w:rPr>
          <w:rFonts w:ascii="楷体_GB2312" w:hAnsi="楷体_GB2312" w:eastAsia="楷体_GB2312" w:cs="楷体_GB2312"/>
          <w:bCs/>
          <w:kern w:val="0"/>
          <w:sz w:val="32"/>
          <w:szCs w:val="32"/>
        </w:rPr>
      </w:pPr>
      <w:r>
        <w:rPr>
          <w:rFonts w:hint="eastAsia" w:ascii="楷体_GB2312" w:hAnsi="楷体_GB2312" w:eastAsia="楷体_GB2312" w:cs="楷体_GB2312"/>
          <w:bCs/>
          <w:kern w:val="0"/>
          <w:sz w:val="32"/>
          <w:szCs w:val="32"/>
        </w:rPr>
        <w:t>（一）提升企业开办注销便利度。</w:t>
      </w:r>
      <w:r>
        <w:rPr>
          <w:rFonts w:hint="eastAsia" w:ascii="仿宋_GB2312" w:hAnsi="仿宋_GB2312" w:eastAsia="仿宋_GB2312" w:cs="仿宋_GB2312"/>
          <w:kern w:val="0"/>
          <w:sz w:val="32"/>
          <w:szCs w:val="32"/>
        </w:rPr>
        <w:t>企业开办实行一窗受理、一表填报、全程网办，实现企业设立登记、刻制印章、申领发票、社保医保登记、公积金登记1个工作日办结。新开办企业免费获得一套印章、税控设备和“政策包”，印章刻制费用由市级财政承担。2020年12月底前，按照省政府统一部署，在全市按照自贸试验区模式推开“证照分离”改革。实施“一业一证”改革，在餐饮店、便利店、烘焙店、药店、书店、母婴用品店、民办幼儿园、面粉加工厂、饮用水厂等20个行业开展“一业一证”改革，即将一个行业多个许可（备案）证件合并为一张载明相关行政许可信息的行业综合许可证，实现“一件事情”全流程“一次办好”，并逐步扩大行业范围。实施企业注销“一网通办”，根据省政府有关部门统一安排，推行对未开业、未发生债权债务或已将债权债务清算完结的企业进行简易注销，公告时间由45天缩短至20天。</w:t>
      </w:r>
      <w:r>
        <w:rPr>
          <w:rFonts w:hint="eastAsia" w:ascii="楷体_GB2312" w:hAnsi="楷体_GB2312" w:eastAsia="楷体_GB2312" w:cs="楷体_GB2312"/>
          <w:bCs/>
          <w:kern w:val="0"/>
          <w:sz w:val="32"/>
          <w:szCs w:val="32"/>
        </w:rPr>
        <w:t>（牵头单位：市行政审批服务局，责任单位：市市场监督管理局、市公安局、市财政局、市人力资源和社会保障局、市商务和投资促进局、市医疗保障局、人民银行滕州支行、市税务局等）</w:t>
      </w:r>
    </w:p>
    <w:p>
      <w:pPr>
        <w:spacing w:line="556" w:lineRule="exact"/>
        <w:ind w:firstLine="640" w:firstLineChars="200"/>
        <w:rPr>
          <w:rFonts w:ascii="仿宋_GB2312" w:hAnsi="仿宋_GB2312" w:eastAsia="仿宋_GB2312" w:cs="仿宋_GB2312"/>
          <w:b/>
          <w:bCs/>
          <w:kern w:val="0"/>
          <w:sz w:val="32"/>
          <w:szCs w:val="32"/>
        </w:rPr>
      </w:pPr>
      <w:r>
        <w:rPr>
          <w:rFonts w:hint="eastAsia" w:ascii="楷体_GB2312" w:hAnsi="楷体_GB2312" w:eastAsia="楷体_GB2312" w:cs="楷体_GB2312"/>
          <w:bCs/>
          <w:kern w:val="0"/>
          <w:sz w:val="32"/>
          <w:szCs w:val="32"/>
        </w:rPr>
        <w:t>（二）提速工程建设项目审批。</w:t>
      </w:r>
      <w:r>
        <w:rPr>
          <w:rFonts w:hint="eastAsia" w:ascii="仿宋_GB2312" w:hAnsi="仿宋_GB2312" w:eastAsia="仿宋_GB2312" w:cs="仿宋_GB2312"/>
          <w:kern w:val="0"/>
          <w:sz w:val="32"/>
          <w:szCs w:val="32"/>
        </w:rPr>
        <w:t>企业报建项目每个审批阶段只需填写一张表单，申报材料由各相关部门共用共享。分类制定审批程序，2020年10月底前组织编制并推出6个主题式审批流程，大幅清理压减政府审查、技术审查等环节“隐形时间”。2022年底前，完成经济开发区压覆重要矿产资源、地质灾害危险性等事项区域统一评估，不再对区域内市场主体单独提出评估要求，区域评估费用由市政府承担。实行施工图设计文件数字化联审，10月底前实现消防、人防、技防、防雷和水电气热等同步设计、并联审查、一次办好、结果互认。取消社会投资简易低风险项目施工图审查，主动对接企业申请，实行规划、土地、消防、人防、城建档案及建设条件落实等事项联合验收，时间不超过15个工作日。12月底前，实现工业生产企业在厂区范围内各类建筑（新建民用建筑除外）免收人防工程易地建设费。</w:t>
      </w:r>
      <w:r>
        <w:rPr>
          <w:rFonts w:hint="eastAsia" w:ascii="楷体_GB2312" w:hAnsi="楷体_GB2312" w:eastAsia="楷体_GB2312" w:cs="楷体_GB2312"/>
          <w:bCs/>
          <w:kern w:val="0"/>
          <w:sz w:val="32"/>
          <w:szCs w:val="32"/>
        </w:rPr>
        <w:t>（牵头单位：市行政审批服务局、市住房和城乡建设局，责任单位：市自然资源局、市应急管理局、市财政局、经济开发区管委会等）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（三）优化获得电力流程。</w:t>
      </w:r>
      <w:r>
        <w:rPr>
          <w:rFonts w:hint="eastAsia" w:ascii="仿宋_GB2312" w:hAnsi="仿宋_GB2312" w:eastAsia="仿宋_GB2312" w:cs="仿宋_GB2312"/>
          <w:kern w:val="0"/>
          <w:sz w:val="32"/>
          <w:szCs w:val="32"/>
        </w:rPr>
        <w:t>10千伏普通用户、低压用户申请资料分别精简至3项、2项。全面推行居民用户“零证办理”、企业用户“一证办理”。全面推行由电网企业“一窗受理”用户接电行政审批申请。取消10千伏普通用户受电工程设计审查和中间检查环节。有电力外线工程和无电力外线工程的10千伏电力接入，办理环节分别减至4个和3个，办理时间分别不超过40个和11个工作日；有电力外线工程和无电力外线工程的低压电力接入，办理环节分别减至3个和2个，办理时间分别不超过7个和3个工作日。省级及以上园区和纳入省级新旧动能转换项目库的10千伏企业用户，电网企业投资界面延伸至用户规划红线。城市规划区用电容量160千伏安、农村地区100千伏安及以下的小微企业用电，实现接电零上门、零审批、零收费。符合电力直接接入条件且无工程的小微企业，实现当日申请、次日接电。对城镇老旧小区内入户端口以外需要改造的供电设施，产权不属于电网企业的，政府通过“以奖代补”等方式，支持电网企业出资进行“一户一表”改造。</w:t>
      </w:r>
      <w:r>
        <w:rPr>
          <w:rFonts w:hint="eastAsia" w:ascii="楷体_GB2312" w:hAnsi="宋体" w:eastAsia="楷体_GB2312" w:cs="楷体_GB2312"/>
          <w:color w:val="000000"/>
          <w:kern w:val="0"/>
          <w:sz w:val="32"/>
          <w:szCs w:val="32"/>
        </w:rPr>
        <w:t>（牵头单位：枣庄供电公司滕州供电部，责任单位：市发展和改革局、市财政局、市住房和城乡建设局等）</w:t>
      </w:r>
    </w:p>
    <w:p>
      <w:pPr>
        <w:spacing w:line="556" w:lineRule="exact"/>
        <w:ind w:firstLine="640" w:firstLineChars="200"/>
        <w:rPr>
          <w:rFonts w:ascii="仿宋_GB2312" w:hAnsi="仿宋_GB2312" w:eastAsia="仿宋_GB2312" w:cs="仿宋_GB2312"/>
          <w:color w:val="000000"/>
          <w:kern w:val="0"/>
          <w:sz w:val="32"/>
          <w:szCs w:val="32"/>
          <w:u w:val="single"/>
        </w:rPr>
      </w:pPr>
      <w:r>
        <w:rPr>
          <w:rFonts w:hint="eastAsia" w:ascii="楷体_GB2312" w:hAnsi="宋体" w:eastAsia="楷体_GB2312" w:cs="楷体_GB2312"/>
          <w:color w:val="000000"/>
          <w:kern w:val="0"/>
          <w:sz w:val="32"/>
          <w:szCs w:val="32"/>
        </w:rPr>
        <w:t>（四）简化用水用气报装。</w:t>
      </w:r>
      <w:r>
        <w:rPr>
          <w:rFonts w:hint="eastAsia" w:ascii="仿宋_GB2312" w:hAnsi="仿宋_GB2312" w:eastAsia="仿宋_GB2312" w:cs="仿宋_GB2312"/>
          <w:color w:val="000000"/>
          <w:kern w:val="0"/>
          <w:sz w:val="32"/>
          <w:szCs w:val="32"/>
        </w:rPr>
        <w:t>在省、枣庄市规定的完成时限内，用水用气报装实现“网上办”“掌上办”。减少办理环节，具备直接接通条件的，简化为申请受理、装表接通2个环节；有外线工程的简化为申请、现场踏勘编制方案、验收接通3个环节。减少接通时限，具备直接接通条件的办理时限为4个工作日；有外线工程的水气接通分别不超过7个和10个工作日。减少提交材料，申请办理燃气只需提供营业执照和规划图两份材料。减少附加审批要件和手续。报装工程涉及规划、道路挖掘（占用）、砍伐树木、占用绿地等行政审批的，由供水供气企业（施工单位）负责办理相关手续，受理部门并联审批，5个工作日内办结。全面取消在水电气报装中设立的附加审批要件和手续。</w:t>
      </w:r>
      <w:r>
        <w:rPr>
          <w:rFonts w:hint="eastAsia" w:ascii="楷体_GB2312" w:hAnsi="宋体" w:eastAsia="楷体_GB2312" w:cs="楷体_GB2312"/>
          <w:color w:val="000000"/>
          <w:kern w:val="0"/>
          <w:sz w:val="32"/>
          <w:szCs w:val="32"/>
        </w:rPr>
        <w:t>（牵头单位：市住房和城乡建设局、市城乡水务局，责任单位：市综合行政执法局、市行政审批服务局、滕州华润燃气有限公司、滕州市中润供水有限公司等）</w:t>
      </w:r>
    </w:p>
    <w:p>
      <w:pPr>
        <w:spacing w:line="556" w:lineRule="exact"/>
        <w:ind w:firstLine="640" w:firstLineChars="200"/>
        <w:rPr>
          <w:rFonts w:ascii="Calibri" w:hAnsi="Calibri" w:eastAsia="宋体" w:cs="Times New Roman"/>
        </w:rPr>
      </w:pPr>
      <w:r>
        <w:rPr>
          <w:rFonts w:hint="eastAsia" w:ascii="楷体_GB2312" w:hAnsi="宋体" w:eastAsia="楷体_GB2312" w:cs="楷体_GB2312"/>
          <w:color w:val="000000"/>
          <w:kern w:val="0"/>
          <w:sz w:val="32"/>
          <w:szCs w:val="32"/>
        </w:rPr>
        <w:t>（五）分类优化财产登记。</w:t>
      </w:r>
      <w:r>
        <w:rPr>
          <w:rFonts w:ascii="仿宋_GB2312" w:hAnsi="仿宋_GB2312" w:eastAsia="仿宋_GB2312" w:cs="仿宋_GB2312"/>
          <w:color w:val="000000"/>
          <w:kern w:val="0"/>
          <w:sz w:val="32"/>
          <w:szCs w:val="32"/>
        </w:rPr>
        <w:t>实行不动产登记和缴税“一窗受理”，并行办理。加快推进不动产登记“一网通办”，在省、枣庄市规定的完成时限内，实现线上申请、异地可办，并实行24小时在线申请和网上</w:t>
      </w:r>
      <w:r>
        <w:rPr>
          <w:rFonts w:hint="eastAsia" w:ascii="仿宋_GB2312" w:hAnsi="仿宋_GB2312" w:eastAsia="仿宋_GB2312" w:cs="仿宋_GB2312"/>
          <w:color w:val="000000"/>
          <w:kern w:val="0"/>
          <w:sz w:val="32"/>
          <w:szCs w:val="32"/>
        </w:rPr>
        <w:t>、掌上</w:t>
      </w:r>
      <w:r>
        <w:rPr>
          <w:rFonts w:ascii="仿宋_GB2312" w:hAnsi="仿宋_GB2312" w:eastAsia="仿宋_GB2312" w:cs="仿宋_GB2312"/>
          <w:color w:val="000000"/>
          <w:kern w:val="0"/>
          <w:sz w:val="32"/>
          <w:szCs w:val="32"/>
        </w:rPr>
        <w:t>查询。</w:t>
      </w:r>
      <w:r>
        <w:rPr>
          <w:rFonts w:hint="eastAsia" w:ascii="仿宋_GB2312" w:hAnsi="仿宋_GB2312" w:eastAsia="仿宋_GB2312" w:cs="仿宋_GB2312"/>
          <w:color w:val="000000"/>
          <w:kern w:val="0"/>
          <w:sz w:val="32"/>
          <w:szCs w:val="32"/>
        </w:rPr>
        <w:t>通过与国家级、省级相关部门的信息共享查询接口的对接，实现调用国家级、省级相关部门的共享信息；同时，实现不动产登记数据实时推送至鲁南大数据中心，以供相关部门调用。</w:t>
      </w:r>
      <w:r>
        <w:rPr>
          <w:rFonts w:ascii="仿宋_GB2312" w:hAnsi="仿宋_GB2312" w:eastAsia="仿宋_GB2312" w:cs="仿宋_GB2312"/>
          <w:color w:val="000000"/>
          <w:kern w:val="0"/>
          <w:sz w:val="32"/>
          <w:szCs w:val="32"/>
        </w:rPr>
        <w:t>除法定的不动产登记协税种类外，取消其他税种作为不动产转移过户的前置条件。实现不动产登记与银行抵押贷款、公积金贷款、公证等业务联办，实现不动产登记与水电气热过户业务协同办理。不动产登记服务向信用优良的房地产开发企业延伸，抵押登记向银行、住房公积金网点延伸，</w:t>
      </w:r>
      <w:r>
        <w:rPr>
          <w:rFonts w:hint="eastAsia" w:ascii="仿宋_GB2312" w:hAnsi="仿宋_GB2312" w:eastAsia="仿宋_GB2312" w:cs="仿宋_GB2312"/>
          <w:color w:val="000000"/>
          <w:kern w:val="0"/>
          <w:sz w:val="32"/>
          <w:szCs w:val="32"/>
        </w:rPr>
        <w:t>并通过电子审签，实现</w:t>
      </w:r>
      <w:r>
        <w:rPr>
          <w:rFonts w:ascii="仿宋_GB2312" w:hAnsi="仿宋_GB2312" w:eastAsia="仿宋_GB2312" w:cs="仿宋_GB2312"/>
          <w:color w:val="000000"/>
          <w:kern w:val="0"/>
          <w:sz w:val="32"/>
          <w:szCs w:val="32"/>
        </w:rPr>
        <w:t>抵押登记“零跑腿”。积极推动解决历史遗留问题，对企业和城镇居民不动产登记历史遗留问题，可按照项目建设时的政策规定完善用地、建设工程规划、竣工验收备案等手续，有关部门出具的等效文件可作为办理不动产登记依据。对建设单位依法取得商品房预售许可证，购房人签订购房协议、取得合法有效的销售不动产凭证且已依法履行相关义务，由于建设单位相关手续无法完善而影响购房人取得不动产权证的，</w:t>
      </w:r>
      <w:r>
        <w:rPr>
          <w:rFonts w:hint="eastAsia" w:ascii="仿宋_GB2312" w:hAnsi="仿宋_GB2312" w:eastAsia="仿宋_GB2312" w:cs="仿宋_GB2312"/>
          <w:color w:val="000000"/>
          <w:kern w:val="0"/>
          <w:sz w:val="32"/>
          <w:szCs w:val="32"/>
        </w:rPr>
        <w:t>经当地政府组织相关部门进行调查认定，</w:t>
      </w:r>
      <w:r>
        <w:rPr>
          <w:rFonts w:ascii="仿宋_GB2312" w:hAnsi="仿宋_GB2312" w:eastAsia="仿宋_GB2312" w:cs="仿宋_GB2312"/>
          <w:color w:val="000000"/>
          <w:kern w:val="0"/>
          <w:sz w:val="32"/>
          <w:szCs w:val="32"/>
        </w:rPr>
        <w:t>可将办理不动产登记与向建设单位追溯法律责任完善手续并行办理。加强不动产登记队伍建设，规范不动产登记窗口服务标准，配备自助查询、自助打证等服务设备，</w:t>
      </w:r>
      <w:r>
        <w:rPr>
          <w:rFonts w:hint="eastAsia" w:ascii="仿宋_GB2312" w:hAnsi="仿宋_GB2312" w:eastAsia="仿宋_GB2312" w:cs="仿宋_GB2312"/>
          <w:color w:val="000000"/>
          <w:kern w:val="0"/>
          <w:sz w:val="32"/>
          <w:szCs w:val="32"/>
        </w:rPr>
        <w:t>实现24小时自助服务，</w:t>
      </w:r>
      <w:r>
        <w:rPr>
          <w:rFonts w:ascii="仿宋_GB2312" w:hAnsi="仿宋_GB2312" w:eastAsia="仿宋_GB2312" w:cs="仿宋_GB2312"/>
          <w:color w:val="000000"/>
          <w:kern w:val="0"/>
          <w:sz w:val="32"/>
          <w:szCs w:val="32"/>
        </w:rPr>
        <w:t>提升登记服务能力。</w:t>
      </w:r>
      <w:r>
        <w:rPr>
          <w:rFonts w:ascii="仿宋_GB2312" w:hAnsi="仿宋_GB2312" w:eastAsia="仿宋_GB2312" w:cs="仿宋_GB2312"/>
          <w:kern w:val="0"/>
          <w:sz w:val="32"/>
          <w:szCs w:val="32"/>
        </w:rPr>
        <w:t>对执行我市及以上政府决定的行政行为实行尽职免责</w:t>
      </w:r>
      <w:r>
        <w:rPr>
          <w:rFonts w:ascii="仿宋_GB2312" w:hAnsi="仿宋_GB2312" w:eastAsia="仿宋_GB2312" w:cs="仿宋_GB2312"/>
          <w:color w:val="000000"/>
          <w:kern w:val="0"/>
          <w:sz w:val="32"/>
          <w:szCs w:val="32"/>
        </w:rPr>
        <w:t>。</w:t>
      </w:r>
      <w:r>
        <w:rPr>
          <w:rFonts w:ascii="楷体_GB2312" w:hAnsi="楷体_GB2312" w:eastAsia="楷体_GB2312" w:cs="楷体_GB2312"/>
          <w:color w:val="000000"/>
          <w:kern w:val="0"/>
          <w:sz w:val="32"/>
          <w:szCs w:val="32"/>
        </w:rPr>
        <w:t>（</w:t>
      </w:r>
      <w:r>
        <w:rPr>
          <w:rFonts w:hint="eastAsia" w:ascii="楷体_GB2312" w:hAnsi="楷体_GB2312" w:eastAsia="楷体_GB2312" w:cs="楷体_GB2312"/>
          <w:color w:val="000000"/>
          <w:kern w:val="0"/>
          <w:sz w:val="32"/>
          <w:szCs w:val="32"/>
        </w:rPr>
        <w:t>牵头单位：</w:t>
      </w:r>
      <w:r>
        <w:rPr>
          <w:rFonts w:ascii="楷体_GB2312" w:hAnsi="楷体_GB2312" w:eastAsia="楷体_GB2312" w:cs="楷体_GB2312"/>
          <w:color w:val="000000"/>
          <w:kern w:val="0"/>
          <w:sz w:val="32"/>
          <w:szCs w:val="32"/>
        </w:rPr>
        <w:t>市自然资源局</w:t>
      </w:r>
      <w:r>
        <w:rPr>
          <w:rFonts w:hint="eastAsia" w:ascii="楷体_GB2312" w:hAnsi="楷体_GB2312" w:eastAsia="楷体_GB2312" w:cs="楷体_GB2312"/>
          <w:color w:val="000000"/>
          <w:kern w:val="0"/>
          <w:sz w:val="32"/>
          <w:szCs w:val="32"/>
        </w:rPr>
        <w:t>，</w:t>
      </w:r>
      <w:r>
        <w:rPr>
          <w:rFonts w:ascii="楷体_GB2312" w:hAnsi="楷体_GB2312" w:eastAsia="楷体_GB2312" w:cs="楷体_GB2312"/>
          <w:color w:val="000000"/>
          <w:kern w:val="0"/>
          <w:sz w:val="32"/>
          <w:szCs w:val="32"/>
        </w:rPr>
        <w:t>责任单位：市财政局、市住房和城乡建设局、市司法局、市税务局、市金融服务中心等）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（六）提升纳税服务质量。</w:t>
      </w:r>
      <w:r>
        <w:rPr>
          <w:rFonts w:hint="eastAsia" w:ascii="仿宋_GB2312" w:hAnsi="Calibri" w:eastAsia="仿宋_GB2312" w:cs="仿宋_GB2312"/>
          <w:sz w:val="32"/>
          <w:szCs w:val="32"/>
        </w:rPr>
        <w:t>纳税缴费事项全部实现网上办理。一类出口企业和列入省级新旧动能转换项目库的企业出口退税在２个工作日内办结;全市出口退税平均办理时间控制在５个工作日内。对需执行税务注销一般程序的，增值税一般纳税人办理期限压缩至10个工作日内，增值税小规模纳税人和其他纳税人压缩至5个工作日内。办理“注销中止”的，上述法定办结期限暂停计算，直至“注销中止”事项办结。将取消增值税发票认证范围扩大到所有纳税人。</w:t>
      </w:r>
      <w:r>
        <w:rPr>
          <w:rFonts w:hint="eastAsia" w:ascii="楷体_GB2312" w:hAnsi="宋体" w:eastAsia="楷体_GB2312" w:cs="楷体_GB2312"/>
          <w:color w:val="000000"/>
          <w:kern w:val="0"/>
          <w:sz w:val="32"/>
          <w:szCs w:val="32"/>
        </w:rPr>
        <w:t>（责任单位：市税务局等）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kern w:val="0"/>
          <w:sz w:val="32"/>
          <w:szCs w:val="32"/>
        </w:rPr>
        <w:t>（七）推进跨境贸易便利化。</w:t>
      </w:r>
      <w:r>
        <w:rPr>
          <w:rFonts w:hint="eastAsia" w:ascii="仿宋_GB2312" w:hAnsi="Calibri" w:eastAsia="仿宋_GB2312" w:cs="仿宋_GB2312"/>
          <w:sz w:val="32"/>
          <w:szCs w:val="32"/>
        </w:rPr>
        <w:t>加大省、市相关政策宣传力度，将对因企业提前申报进口货物而引起的进口日期修改，以及由于装运、配载等原因造成货物变更运输工具的，不予记录报关差错，进口企业受疫情影响缴纳税款确有困难的，可以申请延期缴纳（最长</w:t>
      </w:r>
      <w:r>
        <w:rPr>
          <w:rFonts w:ascii="仿宋_GB2312" w:hAnsi="Calibri" w:eastAsia="仿宋_GB2312" w:cs="仿宋_GB2312"/>
          <w:sz w:val="32"/>
          <w:szCs w:val="32"/>
        </w:rPr>
        <w:t>3</w:t>
      </w:r>
      <w:r>
        <w:rPr>
          <w:rFonts w:hint="eastAsia" w:ascii="仿宋_GB2312" w:hAnsi="Calibri" w:eastAsia="仿宋_GB2312" w:cs="仿宋_GB2312"/>
          <w:sz w:val="32"/>
          <w:szCs w:val="32"/>
        </w:rPr>
        <w:t>个月）；对食品、农产品进口企业关税保证保险保费给予不超过</w:t>
      </w:r>
      <w:r>
        <w:rPr>
          <w:rFonts w:ascii="仿宋_GB2312" w:hAnsi="Calibri" w:eastAsia="仿宋_GB2312" w:cs="仿宋_GB2312"/>
          <w:sz w:val="32"/>
          <w:szCs w:val="32"/>
        </w:rPr>
        <w:t>30%</w:t>
      </w:r>
      <w:r>
        <w:rPr>
          <w:rFonts w:hint="eastAsia" w:ascii="仿宋_GB2312" w:hAnsi="Calibri" w:eastAsia="仿宋_GB2312" w:cs="仿宋_GB2312"/>
          <w:sz w:val="32"/>
          <w:szCs w:val="32"/>
        </w:rPr>
        <w:t>补贴等政策及时传达到外贸企业，引导企业用足用好政策。积极推动</w:t>
      </w:r>
      <w:r>
        <w:rPr>
          <w:rFonts w:hint="eastAsia" w:ascii="仿宋_GB2312" w:hAnsi="Calibri" w:eastAsia="仿宋_GB2312" w:cs="Times New Roman"/>
          <w:sz w:val="32"/>
          <w:szCs w:val="32"/>
        </w:rPr>
        <w:t>开通运行滕州“齐鲁号”欧亚班列，便利外贸企业进出口产品运输。</w:t>
      </w:r>
      <w:r>
        <w:rPr>
          <w:rFonts w:hint="eastAsia" w:ascii="仿宋_GB2312" w:hAnsi="仿宋_GB2312" w:eastAsia="仿宋_GB2312" w:cs="仿宋_GB2312"/>
          <w:sz w:val="32"/>
          <w:szCs w:val="32"/>
        </w:rPr>
        <w:t>完善出口退税方式，加快退税进度，推广应用电子税务局，2021年底前，出口退税审批平均2个工作日办结，一类企业“随报随批、随批随退”。</w:t>
      </w:r>
      <w:r>
        <w:rPr>
          <w:rFonts w:hint="eastAsia" w:ascii="楷体_GB2312" w:hAnsi="宋体" w:eastAsia="楷体_GB2312" w:cs="楷体_GB2312"/>
          <w:color w:val="000000"/>
          <w:kern w:val="0"/>
          <w:sz w:val="32"/>
          <w:szCs w:val="32"/>
        </w:rPr>
        <w:t>（牵头单位：市商务和投资促进局，责任单位：市税务局、市财政局、滕州火车站等）</w:t>
      </w:r>
    </w:p>
    <w:p>
      <w:pPr>
        <w:spacing w:line="556" w:lineRule="exact"/>
        <w:ind w:firstLine="640" w:firstLineChars="200"/>
        <w:jc w:val="left"/>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（八）优化高速公路安全管理。</w:t>
      </w:r>
      <w:r>
        <w:rPr>
          <w:rFonts w:hint="eastAsia" w:ascii="仿宋_GB2312" w:hAnsi="Calibri" w:eastAsia="仿宋_GB2312" w:cs="仿宋_GB2312"/>
          <w:sz w:val="32"/>
          <w:szCs w:val="32"/>
        </w:rPr>
        <w:t>在省、枣庄市规定的完成时限内，完成道路交通事故多发点段及严重安全隐患排查，实现道路安全设施与道路主体工程同时设计、同时施工、同时投入使用。在有条件的服务区建设智慧警务站，构建高速公路新型安全管理阵地。在醒目位置设置限速标志，做到易于观察和预判，实时推送高速公路流量、事故、天气等信息数据，相应调整道路限速值。严禁在进出高速公路收费站、服务区、立交桥匝道进行测速取证。公安机关将有关数据推送到相关导航运营商，公开限速、测速等信息，杜绝隐蔽执法。</w:t>
      </w:r>
      <w:r>
        <w:rPr>
          <w:rFonts w:hint="eastAsia" w:ascii="楷体_GB2312" w:hAnsi="宋体" w:eastAsia="楷体_GB2312" w:cs="楷体_GB2312"/>
          <w:color w:val="000000"/>
          <w:kern w:val="0"/>
          <w:sz w:val="32"/>
          <w:szCs w:val="32"/>
        </w:rPr>
        <w:t>（牵头单位：市公安局，责任单位：市交通运输局等）</w:t>
      </w:r>
    </w:p>
    <w:p>
      <w:pPr>
        <w:spacing w:line="556" w:lineRule="exact"/>
        <w:ind w:firstLine="640" w:firstLineChars="200"/>
        <w:jc w:val="left"/>
        <w:rPr>
          <w:rFonts w:ascii="黑体" w:hAnsi="宋体" w:eastAsia="黑体" w:cs="黑体"/>
          <w:color w:val="000000"/>
          <w:kern w:val="0"/>
          <w:sz w:val="32"/>
          <w:szCs w:val="32"/>
        </w:rPr>
      </w:pPr>
      <w:r>
        <w:rPr>
          <w:rFonts w:hint="eastAsia" w:ascii="黑体" w:hAnsi="宋体" w:eastAsia="黑体" w:cs="黑体"/>
          <w:color w:val="000000"/>
          <w:kern w:val="0"/>
          <w:sz w:val="32"/>
          <w:szCs w:val="32"/>
        </w:rPr>
        <w:t>二、着力打通企业难点堵点痛点</w:t>
      </w:r>
    </w:p>
    <w:p>
      <w:pPr>
        <w:pStyle w:val="5"/>
        <w:spacing w:before="0" w:beforeAutospacing="0" w:after="0" w:afterAutospacing="0" w:line="556" w:lineRule="exact"/>
        <w:ind w:firstLine="640" w:firstLineChars="200"/>
        <w:jc w:val="both"/>
        <w:rPr>
          <w:rFonts w:ascii="仿宋_GB2312" w:hAnsi="仿宋_GB2312" w:eastAsia="仿宋_GB2312" w:cs="仿宋_GB2312"/>
          <w:b/>
          <w:bCs/>
          <w:sz w:val="32"/>
          <w:szCs w:val="32"/>
        </w:rPr>
      </w:pPr>
      <w:r>
        <w:rPr>
          <w:rFonts w:hint="eastAsia" w:ascii="楷体_GB2312" w:hAnsi="楷体_GB2312" w:eastAsia="楷体_GB2312" w:cs="楷体_GB2312"/>
          <w:sz w:val="32"/>
          <w:szCs w:val="32"/>
        </w:rPr>
        <w:t>（九）强化企业贷款支持。</w:t>
      </w:r>
      <w:r>
        <w:rPr>
          <w:rFonts w:hint="eastAsia" w:ascii="仿宋_GB2312" w:hAnsi="仿宋_GB2312" w:eastAsia="仿宋_GB2312" w:cs="仿宋_GB2312"/>
          <w:sz w:val="32"/>
          <w:szCs w:val="32"/>
        </w:rPr>
        <w:t>凡列入无还本续贷名单的企业，银行根据企业申请在其贷款到期前1个月进行调查评审。银行不得因无还本续贷下调企业贷款分类等级。企业融资时以知识产权、应收账款、承包经营权、海域使用权、股权、动产等作为抵质押物，银行不得拒绝。缩短信贷审批时限，符合条件的小微企业平均办理环节不超过4个、申请材料不超过10件、办理时间不超过11个工作日。按季监测普惠型小微企业贷款利率水平，对明显高于同类机构同类产品平均利率的银行进行窗口指导，实现小微企业融资成本下降，2020年普惠型小微企业贷款综合融资成本再降0.5个百分点。政府性融资担保机构对单户担保金额500万元及以下小微企业收取的担保费率不超过1%。根据省级应急转贷引导基金运作等情况，及时足额增加引导基金规模，转贷基金每日使用费率降至0.08%以下。从严查处各类违规收费行为，禁止对小微企业贷款收取承诺费、资金管理费，严格限制收取财务顾问费、咨询费等费用。</w:t>
      </w:r>
      <w:r>
        <w:rPr>
          <w:rFonts w:hint="eastAsia" w:ascii="楷体_GB2312" w:hAnsi="宋体" w:eastAsia="楷体_GB2312" w:cs="楷体_GB2312"/>
          <w:color w:val="000000"/>
          <w:sz w:val="32"/>
          <w:szCs w:val="32"/>
        </w:rPr>
        <w:t>（牵头单位：市金融服务中心，责任单位：市工业和信息化局、市财政局、人民银行滕州支行等）</w:t>
      </w:r>
    </w:p>
    <w:p>
      <w:pPr>
        <w:pStyle w:val="5"/>
        <w:spacing w:before="0" w:beforeAutospacing="0" w:after="0" w:afterAutospacing="0" w:line="556" w:lineRule="exact"/>
        <w:ind w:firstLine="640" w:firstLineChars="200"/>
        <w:jc w:val="both"/>
        <w:rPr>
          <w:rFonts w:ascii="仿宋_GB2312" w:hAnsi="仿宋_GB2312" w:eastAsia="仿宋_GB2312" w:cs="仿宋_GB2312"/>
          <w:b/>
          <w:bCs/>
          <w:sz w:val="32"/>
          <w:szCs w:val="32"/>
        </w:rPr>
      </w:pPr>
      <w:r>
        <w:rPr>
          <w:rFonts w:hint="eastAsia" w:ascii="楷体_GB2312" w:hAnsi="楷体_GB2312" w:eastAsia="楷体_GB2312" w:cs="楷体_GB2312"/>
          <w:sz w:val="32"/>
          <w:szCs w:val="32"/>
        </w:rPr>
        <w:t>（十）保护中小投资者合法权益。</w:t>
      </w:r>
      <w:r>
        <w:rPr>
          <w:rFonts w:hint="eastAsia" w:ascii="仿宋_GB2312" w:hAnsi="仿宋_GB2312" w:eastAsia="仿宋_GB2312" w:cs="仿宋_GB2312"/>
          <w:sz w:val="32"/>
          <w:szCs w:val="32"/>
        </w:rPr>
        <w:t>压缩投资者纠纷调解时限，普通调解程序自调解员接受选定或指定后30日内完成，简易调解程序自调解员接受选定或指定后20日内完成。对1万元以下的证券期货纠纷，当事人可选择小额速调程序，调解员10日内作出调解建议书并送达当事人。优化投资者纠纷调解事项办理流程，实现专业调解组织与省内人民法院的在线诉调对接。建立中小投资者权益保护法律服务顾问团，加强中小投资者法律援助。</w:t>
      </w:r>
      <w:r>
        <w:rPr>
          <w:rFonts w:hint="eastAsia" w:ascii="楷体_GB2312" w:hAnsi="宋体" w:eastAsia="楷体_GB2312" w:cs="楷体_GB2312"/>
          <w:color w:val="000000"/>
          <w:sz w:val="32"/>
          <w:szCs w:val="32"/>
        </w:rPr>
        <w:t>（牵头单位：市法院、市金融服务中心，责任单位：市司法局等）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（十一）优化劳动力市场服务。</w:t>
      </w:r>
      <w:r>
        <w:rPr>
          <w:rFonts w:hint="eastAsia" w:ascii="仿宋_GB2312" w:hAnsi="宋体" w:eastAsia="仿宋_GB2312" w:cs="仿宋_GB2312"/>
          <w:color w:val="000000"/>
          <w:kern w:val="0"/>
          <w:sz w:val="32"/>
          <w:szCs w:val="32"/>
        </w:rPr>
        <w:t>全面开放线上失业登记，在省、枣庄市规定的完成时限内，接入失业登记全国服务平台。市内企业养老保险关系转移接续全程网办，办理时限由45个工作日压缩至15个工作日。进一步优化职称评审服务，12月底前，专业技术人员职称申报、审核、评审、公示、备案等实现网上“一条龙”服务。按照《山东省人力资源和社会保障厅关于全面开展企业技能人才自主评价工作的通知》规定，在我市符合条件的规模以上企业全面推开技能人才自主评价</w:t>
      </w:r>
      <w:r>
        <w:rPr>
          <w:rFonts w:hint="eastAsia" w:ascii="楷体_GB2312" w:hAnsi="宋体" w:eastAsia="楷体_GB2312" w:cs="楷体_GB2312"/>
          <w:color w:val="000000"/>
          <w:kern w:val="0"/>
          <w:sz w:val="32"/>
          <w:szCs w:val="32"/>
        </w:rPr>
        <w:t>（牵头单位：市人力资源和社会保障局，责任单位：市人力资源服务中心、市社会养老保险事务中心、市职称评价中心、市职业技能鉴定中心等）。</w:t>
      </w:r>
      <w:r>
        <w:rPr>
          <w:rFonts w:hint="eastAsia" w:ascii="仿宋_GB2312" w:hAnsi="宋体" w:eastAsia="仿宋_GB2312" w:cs="仿宋_GB2312"/>
          <w:color w:val="000000"/>
          <w:kern w:val="0"/>
          <w:sz w:val="32"/>
          <w:szCs w:val="32"/>
        </w:rPr>
        <w:t>特殊工时首次审批时限由 20 个工作日压缩至5个工作日，再次审批即时办结</w:t>
      </w:r>
      <w:r>
        <w:rPr>
          <w:rFonts w:hint="eastAsia" w:ascii="楷体_GB2312" w:hAnsi="宋体" w:eastAsia="楷体_GB2312" w:cs="楷体_GB2312"/>
          <w:color w:val="000000"/>
          <w:kern w:val="0"/>
          <w:sz w:val="32"/>
          <w:szCs w:val="32"/>
        </w:rPr>
        <w:t>（责任单位:市行政审批服务局等）。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（十二）规范招投标和政府采购行为。</w:t>
      </w:r>
      <w:r>
        <w:rPr>
          <w:rFonts w:hint="eastAsia" w:ascii="仿宋_GB2312" w:hAnsi="Calibri" w:eastAsia="仿宋_GB2312" w:cs="仿宋_GB2312"/>
          <w:sz w:val="32"/>
          <w:szCs w:val="32"/>
        </w:rPr>
        <w:t>取消政府采购和招投标项目中的企业性质、所在地等限制性规定和隐性门槛。供应商全流程通过电子化方式参与政府采购活动。以银行保函、保证保险替代现金形式的投标保证金，对信用良好的供应商免收投标保证金。政府采购合同签订时间限定在中标（成交）通知书发出之日起10个工作日内；采购人在收到供应商项目验收建议之日起7个工作日内，对采购项目进行实质性验收；预付供应商合同款，其中货物类项目预付款比例原则上不低于合同金额的30%；对满足合同约定支付条件的，采购人资金支付时间限定在收到发票后5个工作日内，不得附加未经约定的其他条件。实现公共资源交易全流程电子化，对提供电子招标文件的招投标项目免收招标文件工本费，对列入公共资源交易目录的招投标项目免收进场服务费。依法依规严厉处置串标围标、恶意投诉等行为，对严重失信者，列入“黑名单”，禁止进入我市市场。</w:t>
      </w:r>
      <w:r>
        <w:rPr>
          <w:rFonts w:hint="eastAsia" w:ascii="楷体_GB2312" w:hAnsi="宋体" w:eastAsia="楷体_GB2312" w:cs="楷体_GB2312"/>
          <w:color w:val="000000"/>
          <w:kern w:val="0"/>
          <w:sz w:val="32"/>
          <w:szCs w:val="32"/>
        </w:rPr>
        <w:t>（牵头单位：市发展和改革局、市财政局，责任单位：市行政审批服务局、市住房和城乡建设局、市建筑业发展服务中心等）</w:t>
      </w:r>
    </w:p>
    <w:p>
      <w:pPr>
        <w:spacing w:line="556" w:lineRule="exact"/>
        <w:ind w:firstLine="640" w:firstLineChars="200"/>
        <w:jc w:val="left"/>
        <w:rPr>
          <w:rFonts w:ascii="黑体" w:hAnsi="宋体" w:eastAsia="黑体" w:cs="黑体"/>
          <w:color w:val="000000"/>
          <w:kern w:val="0"/>
          <w:sz w:val="32"/>
          <w:szCs w:val="32"/>
        </w:rPr>
      </w:pPr>
      <w:r>
        <w:rPr>
          <w:rFonts w:hint="eastAsia" w:ascii="黑体" w:hAnsi="宋体" w:eastAsia="黑体" w:cs="黑体"/>
          <w:color w:val="000000"/>
          <w:kern w:val="0"/>
          <w:sz w:val="32"/>
          <w:szCs w:val="32"/>
        </w:rPr>
        <w:t>三、精准提供便捷高效的政务服务</w:t>
      </w:r>
    </w:p>
    <w:p>
      <w:pPr>
        <w:spacing w:line="556" w:lineRule="exact"/>
        <w:ind w:firstLine="640" w:firstLineChars="200"/>
        <w:jc w:val="left"/>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（十三）打造精简高效政务生态。</w:t>
      </w:r>
      <w:r>
        <w:rPr>
          <w:rFonts w:hint="eastAsia" w:ascii="仿宋_GB2312" w:hAnsi="Calibri" w:eastAsia="仿宋_GB2312" w:cs="仿宋_GB2312"/>
          <w:kern w:val="0"/>
          <w:sz w:val="32"/>
          <w:szCs w:val="32"/>
        </w:rPr>
        <w:t>按照上级行政权力事项调整内容，积极承接落实好国务院、省政府和枣庄市政府委托和下放的事项，及时向社会公布，并编制好业务手册和服务指南，对取消的事项制定后续监管措施，落实监管责任，切实加强监管。根据省级开发区经济管理权限赋权清单，及时做好承接落实工作，实现涉企投资审批扁平化、便利化，做到“区内事区内办”。对《政府部门权责清单》中，所有依行政相对人申请办理的其他行政权力事项和公共服务事项，在实施中存在的以备案、登记、注册、目录、年检、监制、认定、认证、专项计划等形式变相设置、实施的审批和许可进行清理整治。</w:t>
      </w:r>
      <w:r>
        <w:rPr>
          <w:rFonts w:hint="eastAsia" w:ascii="楷体_GB2312" w:hAnsi="宋体" w:eastAsia="楷体_GB2312" w:cs="楷体_GB2312"/>
          <w:color w:val="000000"/>
          <w:kern w:val="0"/>
          <w:sz w:val="32"/>
          <w:szCs w:val="32"/>
        </w:rPr>
        <w:t>（牵头单位：市政府办公室，责任单位：滕州经济开发区管委会、市委编办、市司法局、市行政审批服务局等）</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楷体_GB2312" w:eastAsia="楷体_GB2312" w:cs="楷体_GB2312"/>
          <w:bCs/>
          <w:kern w:val="0"/>
          <w:sz w:val="32"/>
          <w:szCs w:val="32"/>
        </w:rPr>
        <w:t>（十四）优化政务服务。</w:t>
      </w:r>
      <w:r>
        <w:rPr>
          <w:rFonts w:hint="eastAsia" w:ascii="仿宋_GB2312" w:hAnsi="宋体" w:eastAsia="仿宋_GB2312" w:cs="仿宋_GB2312"/>
          <w:kern w:val="0"/>
          <w:sz w:val="32"/>
          <w:szCs w:val="32"/>
        </w:rPr>
        <w:t>在省、枣庄市规定的完成时限内，将全市各级政务服务事项全部纳入政务服务事项管理系统并动态管理，实现除法律、法规另有规定或涉密事项外，依申请政务服务事项全部纳入“政务服务一网通办”总门户运行，网上可办率不低于90%。2020年全面推行市、镇（街）二级全领域无差别“一窗受理”，并健全完善首问负责、一次性告知、窗口无否决权等制度。推广“爱山东”和“爱枣庄”APP，同步加快滕州分厅建设，完成“爱山东·枣庄”APP滕州分厅服务事项接入不少于200项，接入准点出行、市政单车、智慧水务等特色应用不少于20项，实现“一部手机走齐鲁”。</w:t>
      </w:r>
      <w:r>
        <w:rPr>
          <w:rFonts w:hint="eastAsia" w:ascii="仿宋_GB2312" w:hAnsi="仿宋_GB2312" w:eastAsia="仿宋_GB2312" w:cs="仿宋_GB2312"/>
          <w:sz w:val="32"/>
          <w:szCs w:val="32"/>
        </w:rPr>
        <w:t>全面开展证明事项告知承诺制，实施数据共享，完善事项信息核查制度，全部执行国家、省设定的证明事项。健全证明事项告知承诺行政协助制度，制定实施《滕州市证明事项告知承诺制行政协助办法》，对不能信息共享的事项通过行政协助实施，打造“无证明城市”。优化提升服务水平，坚决打击涉黑涉恶类违法犯罪，营造公平公正的法治营商环境。</w:t>
      </w:r>
      <w:r>
        <w:rPr>
          <w:rFonts w:hint="eastAsia" w:ascii="楷体_GB2312" w:hAnsi="宋体" w:eastAsia="楷体_GB2312" w:cs="楷体_GB2312"/>
          <w:kern w:val="0"/>
          <w:sz w:val="32"/>
          <w:szCs w:val="32"/>
        </w:rPr>
        <w:t>（牵头单位：市行政审批服务局，责任单位：市政府办公室、市大数据产业发展服务中心、市司法局等）</w:t>
      </w:r>
    </w:p>
    <w:p>
      <w:pPr>
        <w:spacing w:line="556" w:lineRule="exact"/>
        <w:ind w:firstLine="640" w:firstLineChars="200"/>
        <w:rPr>
          <w:rFonts w:ascii="仿宋_GB2312" w:hAnsi="仿宋_GB2312" w:eastAsia="仿宋_GB2312" w:cs="仿宋_GB2312"/>
          <w:sz w:val="32"/>
          <w:szCs w:val="32"/>
        </w:rPr>
      </w:pPr>
      <w:r>
        <w:rPr>
          <w:rFonts w:hint="eastAsia" w:ascii="楷体_GB2312" w:hAnsi="宋体" w:eastAsia="楷体_GB2312" w:cs="楷体_GB2312"/>
          <w:color w:val="000000"/>
          <w:kern w:val="0"/>
          <w:sz w:val="32"/>
          <w:szCs w:val="32"/>
        </w:rPr>
        <w:t>（十五）加强知识产权保护。</w:t>
      </w:r>
      <w:r>
        <w:rPr>
          <w:rFonts w:hint="eastAsia" w:ascii="仿宋_GB2312" w:hAnsi="仿宋_GB2312" w:eastAsia="仿宋_GB2312" w:cs="仿宋_GB2312"/>
          <w:sz w:val="32"/>
          <w:szCs w:val="32"/>
        </w:rPr>
        <w:t>压缩涉企知识产权行政执法案件办案时限，证据资料齐全的，一般行政处罚案件平均压减至20个工作日，行政裁决案件需在60日内办结。开展专利快速维权，实行外观设计专利侵权案件快速办理，全面开展网络知识产权案件在线办理。积极协助企业开展知识产权质押登记电子化办理，办结取证一次实现，办理时限压减至3个工作日。配合省、枣庄市市场监管局以“十强”产业为重点，构建新旧动能转换专利库，积极向企业推送高价值专利。</w:t>
      </w:r>
      <w:r>
        <w:rPr>
          <w:rFonts w:hint="eastAsia" w:ascii="楷体_GB2312" w:hAnsi="宋体" w:eastAsia="楷体_GB2312" w:cs="楷体_GB2312"/>
          <w:kern w:val="0"/>
          <w:sz w:val="32"/>
          <w:szCs w:val="32"/>
        </w:rPr>
        <w:t>（牵头单位：市市场监督管理局，责任单位：市文化和旅游局、市司法局等）</w:t>
      </w:r>
    </w:p>
    <w:p>
      <w:pPr>
        <w:spacing w:line="556" w:lineRule="exact"/>
        <w:ind w:firstLine="640" w:firstLineChars="200"/>
        <w:jc w:val="left"/>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（十六）提升监管服务效能。</w:t>
      </w:r>
      <w:r>
        <w:rPr>
          <w:rFonts w:hint="eastAsia" w:ascii="仿宋_GB2312" w:hAnsi="宋体" w:eastAsia="仿宋_GB2312" w:cs="仿宋_GB2312"/>
          <w:color w:val="000000"/>
          <w:kern w:val="0"/>
          <w:sz w:val="32"/>
          <w:szCs w:val="32"/>
        </w:rPr>
        <w:t>实施信用风险分类管理，对轻微失信企业，每年至多进行一次随机检查；对严重失信企业，抽查比例不设上限。动态调整“双随机、一公开”抽查事项清单，除投诉举报、转办交办、专项整治等，不得随意实施行政检查。扩大部门联合随机抽查覆盖面，逐步扩大到所有具有行政执法职能的部门，部门联合检查事项提升至20项以上。落实信用修复制度，对申请移出异常名录的企业，材料齐全的5个工作日办结；对申请修复严重失信企业名单且符合规定、材料齐全的企业，审核时间不超过10个工作日。信用修复后联合惩戒措施同步取消。</w:t>
      </w:r>
      <w:r>
        <w:rPr>
          <w:rFonts w:hint="eastAsia" w:ascii="楷体_GB2312" w:hAnsi="宋体" w:eastAsia="楷体_GB2312" w:cs="楷体_GB2312"/>
          <w:color w:val="000000"/>
          <w:kern w:val="0"/>
          <w:sz w:val="32"/>
          <w:szCs w:val="32"/>
        </w:rPr>
        <w:t>（牵头单位：市市场监督管理局，责任单位：市发展和改革局等）</w:t>
      </w:r>
    </w:p>
    <w:p>
      <w:pPr>
        <w:spacing w:line="556" w:lineRule="exact"/>
        <w:ind w:firstLine="640" w:firstLineChars="200"/>
        <w:jc w:val="left"/>
        <w:rPr>
          <w:rFonts w:ascii="黑体" w:hAnsi="宋体" w:eastAsia="黑体" w:cs="黑体"/>
          <w:color w:val="000000"/>
          <w:kern w:val="0"/>
          <w:sz w:val="32"/>
          <w:szCs w:val="32"/>
        </w:rPr>
      </w:pPr>
      <w:r>
        <w:rPr>
          <w:rFonts w:hint="eastAsia" w:ascii="黑体" w:hAnsi="宋体" w:eastAsia="黑体" w:cs="黑体"/>
          <w:color w:val="000000"/>
          <w:kern w:val="0"/>
          <w:sz w:val="32"/>
          <w:szCs w:val="32"/>
        </w:rPr>
        <w:t>四、着力打造透明稳定的政策环境</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（十七）</w:t>
      </w:r>
      <w:r>
        <w:rPr>
          <w:rFonts w:ascii="楷体_GB2312" w:hAnsi="宋体" w:eastAsia="楷体_GB2312" w:cs="楷体_GB2312"/>
          <w:color w:val="000000"/>
          <w:kern w:val="0"/>
          <w:sz w:val="32"/>
          <w:szCs w:val="32"/>
        </w:rPr>
        <w:t>增强政策稳定性和预期性。</w:t>
      </w:r>
      <w:r>
        <w:rPr>
          <w:rFonts w:ascii="仿宋_GB2312" w:hAnsi="宋体" w:eastAsia="仿宋_GB2312" w:cs="仿宋_GB2312"/>
          <w:color w:val="000000"/>
          <w:kern w:val="0"/>
          <w:sz w:val="32"/>
          <w:szCs w:val="32"/>
        </w:rPr>
        <w:t>制定与企业生产经营</w:t>
      </w:r>
      <w:r>
        <w:rPr>
          <w:rFonts w:hint="eastAsia" w:ascii="仿宋_GB2312" w:hAnsi="宋体" w:eastAsia="仿宋_GB2312" w:cs="仿宋_GB2312"/>
          <w:color w:val="000000"/>
          <w:kern w:val="0"/>
          <w:sz w:val="32"/>
          <w:szCs w:val="32"/>
        </w:rPr>
        <w:t>活动密切相关的规范性文件，须充分听取企业家、行业协会商会意见；需要听证的，按要求召开听证会</w:t>
      </w:r>
      <w:r>
        <w:rPr>
          <w:rFonts w:hint="eastAsia" w:ascii="楷体_GB2312" w:hAnsi="宋体" w:eastAsia="楷体_GB2312" w:cs="楷体_GB2312"/>
          <w:color w:val="000000"/>
          <w:kern w:val="0"/>
          <w:sz w:val="32"/>
          <w:szCs w:val="32"/>
        </w:rPr>
        <w:t>（责任单位：市司法局等）</w:t>
      </w:r>
      <w:r>
        <w:rPr>
          <w:rFonts w:hint="eastAsia" w:ascii="仿宋_GB2312" w:hAnsi="宋体" w:eastAsia="仿宋_GB2312" w:cs="仿宋_GB2312"/>
          <w:color w:val="000000"/>
          <w:kern w:val="0"/>
          <w:sz w:val="32"/>
          <w:szCs w:val="32"/>
        </w:rPr>
        <w:t>。调整环境保护、安全生产等标准须进行充分论证，并经省级、市级行业主管部门同意</w:t>
      </w:r>
      <w:r>
        <w:rPr>
          <w:rFonts w:hint="eastAsia" w:ascii="楷体_GB2312" w:hAnsi="宋体" w:eastAsia="楷体_GB2312" w:cs="楷体_GB2312"/>
          <w:color w:val="000000"/>
          <w:kern w:val="0"/>
          <w:sz w:val="32"/>
          <w:szCs w:val="32"/>
        </w:rPr>
        <w:t>（责任单位：枣庄市生态环境局滕州分局、市应急管理局等）</w:t>
      </w:r>
      <w:r>
        <w:rPr>
          <w:rFonts w:hint="eastAsia" w:ascii="仿宋_GB2312" w:hAnsi="宋体" w:eastAsia="仿宋_GB2312" w:cs="仿宋_GB2312"/>
          <w:color w:val="000000"/>
          <w:kern w:val="0"/>
          <w:sz w:val="32"/>
          <w:szCs w:val="32"/>
        </w:rPr>
        <w:t>。出台新涉企政策时同步明确新老政策衔接办法，为企业留出适应调整期。在媒体同步发布涉企政策，公开惠企政策申请条件、申报材料清单、办理流程、承办部门、联系方式、起止时间等信息</w:t>
      </w:r>
      <w:r>
        <w:rPr>
          <w:rFonts w:hint="eastAsia" w:ascii="楷体_GB2312" w:hAnsi="宋体" w:eastAsia="楷体_GB2312" w:cs="楷体_GB2312"/>
          <w:color w:val="000000"/>
          <w:kern w:val="0"/>
          <w:sz w:val="32"/>
          <w:szCs w:val="32"/>
        </w:rPr>
        <w:t>（责任单位：市政府办公室、市发展和改革局、市工业和信息化局、市工商联等）</w:t>
      </w:r>
      <w:r>
        <w:rPr>
          <w:rFonts w:hint="eastAsia" w:ascii="仿宋_GB2312" w:hAnsi="宋体" w:eastAsia="仿宋_GB2312" w:cs="仿宋_GB2312"/>
          <w:color w:val="000000"/>
          <w:kern w:val="0"/>
          <w:sz w:val="32"/>
          <w:szCs w:val="32"/>
        </w:rPr>
        <w:t>。以滕州经济开发区、各镇街为单位每季度梳理涉企政策，集中推送辖区企业</w:t>
      </w:r>
      <w:r>
        <w:rPr>
          <w:rFonts w:hint="eastAsia" w:ascii="楷体_GB2312" w:hAnsi="宋体" w:eastAsia="楷体_GB2312" w:cs="楷体_GB2312"/>
          <w:color w:val="000000"/>
          <w:kern w:val="0"/>
          <w:sz w:val="32"/>
          <w:szCs w:val="32"/>
        </w:rPr>
        <w:t>（责任单位：滕州经济开发区管委会、各镇街）</w:t>
      </w:r>
      <w:r>
        <w:rPr>
          <w:rFonts w:hint="eastAsia" w:ascii="仿宋_GB2312" w:hAnsi="宋体" w:eastAsia="仿宋_GB2312" w:cs="仿宋_GB2312"/>
          <w:color w:val="000000"/>
          <w:kern w:val="0"/>
          <w:sz w:val="32"/>
          <w:szCs w:val="32"/>
        </w:rPr>
        <w:t>。在省、枣庄市规定的完成时限内，完成涉企税费专项清理整治</w:t>
      </w:r>
      <w:r>
        <w:rPr>
          <w:rFonts w:hint="eastAsia" w:ascii="楷体_GB2312" w:hAnsi="宋体" w:eastAsia="楷体_GB2312" w:cs="楷体_GB2312"/>
          <w:color w:val="000000"/>
          <w:kern w:val="0"/>
          <w:sz w:val="32"/>
          <w:szCs w:val="32"/>
        </w:rPr>
        <w:t>（责任单位：市发展和改革局、市财政局、市税务局等）</w:t>
      </w:r>
      <w:r>
        <w:rPr>
          <w:rFonts w:hint="eastAsia" w:ascii="仿宋_GB2312" w:hAnsi="宋体" w:eastAsia="仿宋_GB2312" w:cs="仿宋_GB2312"/>
          <w:color w:val="000000"/>
          <w:kern w:val="0"/>
          <w:sz w:val="32"/>
          <w:szCs w:val="32"/>
        </w:rPr>
        <w:t>。设立应诉平台，收到诉求1个工作日内启动核实程序，3个工作日内答复，15个工作日内予以解决或服务确认，难度较大或者多部门协调的事项最长不超过30个工作日</w:t>
      </w:r>
      <w:r>
        <w:rPr>
          <w:rFonts w:hint="eastAsia" w:ascii="楷体_GB2312" w:hAnsi="宋体" w:eastAsia="楷体_GB2312" w:cs="楷体_GB2312"/>
          <w:color w:val="000000"/>
          <w:kern w:val="0"/>
          <w:sz w:val="32"/>
          <w:szCs w:val="32"/>
        </w:rPr>
        <w:t>（责任单位：市委政法委&lt;市社会治理综合服务中心&gt;等）</w:t>
      </w:r>
      <w:r>
        <w:rPr>
          <w:rFonts w:hint="eastAsia" w:ascii="仿宋_GB2312" w:hAnsi="宋体" w:eastAsia="仿宋_GB2312" w:cs="仿宋_GB2312"/>
          <w:color w:val="000000"/>
          <w:kern w:val="0"/>
          <w:sz w:val="32"/>
          <w:szCs w:val="32"/>
        </w:rPr>
        <w:t>。设立服务企业综合辅导员，帮助企业解决融资、财税、保险、通关等方面的困难</w:t>
      </w:r>
      <w:r>
        <w:rPr>
          <w:rFonts w:hint="eastAsia" w:ascii="楷体_GB2312" w:hAnsi="宋体" w:eastAsia="楷体_GB2312" w:cs="楷体_GB2312"/>
          <w:color w:val="000000"/>
          <w:kern w:val="0"/>
          <w:sz w:val="32"/>
          <w:szCs w:val="32"/>
        </w:rPr>
        <w:t>（</w:t>
      </w:r>
      <w:r>
        <w:rPr>
          <w:rFonts w:ascii="楷体_GB2312" w:hAnsi="宋体" w:eastAsia="楷体_GB2312" w:cs="楷体_GB2312"/>
          <w:color w:val="000000"/>
          <w:kern w:val="0"/>
          <w:sz w:val="32"/>
          <w:szCs w:val="32"/>
        </w:rPr>
        <w:t>责任单位：市</w:t>
      </w:r>
      <w:r>
        <w:rPr>
          <w:rFonts w:hint="eastAsia" w:ascii="楷体_GB2312" w:hAnsi="宋体" w:eastAsia="楷体_GB2312" w:cs="楷体_GB2312"/>
          <w:color w:val="000000"/>
          <w:kern w:val="0"/>
          <w:sz w:val="32"/>
          <w:szCs w:val="32"/>
        </w:rPr>
        <w:t>商务和投资促进局、市金融服务中心、市财政局、市税务局等）。</w:t>
      </w:r>
    </w:p>
    <w:p>
      <w:pPr>
        <w:spacing w:line="556" w:lineRule="exact"/>
        <w:ind w:firstLine="640" w:firstLineChars="200"/>
        <w:rPr>
          <w:rFonts w:ascii="Calibri" w:hAnsi="Calibri" w:eastAsia="宋体" w:cs="Times New Roman"/>
        </w:rPr>
      </w:pPr>
      <w:r>
        <w:rPr>
          <w:rFonts w:hint="eastAsia" w:ascii="楷体_GB2312" w:hAnsi="宋体" w:eastAsia="楷体_GB2312" w:cs="楷体_GB2312"/>
          <w:color w:val="000000"/>
          <w:kern w:val="0"/>
          <w:sz w:val="32"/>
          <w:szCs w:val="32"/>
        </w:rPr>
        <w:t>（十八）</w:t>
      </w:r>
      <w:r>
        <w:rPr>
          <w:rFonts w:ascii="楷体_GB2312" w:hAnsi="宋体" w:eastAsia="楷体_GB2312" w:cs="楷体_GB2312"/>
          <w:color w:val="000000"/>
          <w:kern w:val="0"/>
          <w:sz w:val="32"/>
          <w:szCs w:val="32"/>
        </w:rPr>
        <w:t>严禁执法“一刀切”。</w:t>
      </w:r>
      <w:r>
        <w:rPr>
          <w:rFonts w:ascii="仿宋_GB2312" w:hAnsi="宋体" w:eastAsia="仿宋_GB2312" w:cs="仿宋_GB2312"/>
          <w:color w:val="000000"/>
          <w:kern w:val="0"/>
          <w:sz w:val="32"/>
          <w:szCs w:val="32"/>
        </w:rPr>
        <w:t>根据企业环保绩效，实行差</w:t>
      </w:r>
      <w:r>
        <w:rPr>
          <w:rFonts w:hint="eastAsia" w:ascii="仿宋_GB2312" w:hAnsi="宋体" w:eastAsia="仿宋_GB2312" w:cs="仿宋_GB2312"/>
          <w:color w:val="000000"/>
          <w:kern w:val="0"/>
          <w:sz w:val="32"/>
          <w:szCs w:val="32"/>
        </w:rPr>
        <w:t>异化管控，对民生保障、外贸出口、战略性产业、新兴产业等工业企业以及省、枣庄市重大工程项目，纳入保障类清单，不采取全面停工、停产措施</w:t>
      </w:r>
      <w:r>
        <w:rPr>
          <w:rFonts w:hint="eastAsia" w:ascii="楷体_GB2312" w:hAnsi="宋体" w:eastAsia="楷体_GB2312" w:cs="楷体_GB2312"/>
          <w:color w:val="000000"/>
          <w:kern w:val="0"/>
          <w:sz w:val="32"/>
          <w:szCs w:val="32"/>
        </w:rPr>
        <w:t>（责任单位：枣庄市生态环境局滕州分局等）</w:t>
      </w:r>
      <w:r>
        <w:rPr>
          <w:rFonts w:hint="eastAsia" w:ascii="仿宋_GB2312" w:hAnsi="宋体" w:eastAsia="仿宋_GB2312" w:cs="仿宋_GB2312"/>
          <w:color w:val="000000"/>
          <w:kern w:val="0"/>
          <w:sz w:val="32"/>
          <w:szCs w:val="32"/>
        </w:rPr>
        <w:t>。对高危和自然灾害风险较重行业，出台限制性政策，事前进行认真论证并充分征求企业意见，根据企业实际分类实施</w:t>
      </w:r>
      <w:r>
        <w:rPr>
          <w:rFonts w:hint="eastAsia" w:ascii="楷体_GB2312" w:hAnsi="宋体" w:eastAsia="楷体_GB2312" w:cs="楷体_GB2312"/>
          <w:color w:val="000000"/>
          <w:kern w:val="0"/>
          <w:sz w:val="32"/>
          <w:szCs w:val="32"/>
        </w:rPr>
        <w:t>（责任单位：市应急管理局等）</w:t>
      </w:r>
      <w:r>
        <w:rPr>
          <w:rFonts w:hint="eastAsia" w:ascii="仿宋_GB2312" w:hAnsi="宋体" w:eastAsia="仿宋_GB2312" w:cs="仿宋_GB2312"/>
          <w:color w:val="000000"/>
          <w:kern w:val="0"/>
          <w:sz w:val="32"/>
          <w:szCs w:val="32"/>
        </w:rPr>
        <w:t>。除涉及人民群众生命安全、发生重特大事故、重污染天气应急或者举办国家重大活动，并经有权机关批准外，不得在相关区域要求或变相要求相关行业、领域的市场主体普遍停产、停业</w:t>
      </w:r>
      <w:r>
        <w:rPr>
          <w:rFonts w:hint="eastAsia" w:ascii="楷体_GB2312" w:hAnsi="宋体" w:eastAsia="楷体_GB2312" w:cs="楷体_GB2312"/>
          <w:color w:val="000000"/>
          <w:kern w:val="0"/>
          <w:sz w:val="32"/>
          <w:szCs w:val="32"/>
        </w:rPr>
        <w:t>（责任单位：市公安局、市应急管理局、枣庄市生态环境局滕州分局等）</w:t>
      </w:r>
      <w:r>
        <w:rPr>
          <w:rFonts w:hint="eastAsia" w:ascii="仿宋_GB2312" w:hAnsi="宋体" w:eastAsia="仿宋_GB2312" w:cs="仿宋_GB2312"/>
          <w:color w:val="000000"/>
          <w:kern w:val="0"/>
          <w:sz w:val="32"/>
          <w:szCs w:val="32"/>
        </w:rPr>
        <w:t>。对企业在经营过程中出现的非主观过失或者轻微违规，实行“首次不罚”“首次轻罚”机制。各行政执法部门梳理公布涉企轻微违法不予处罚清单和涉企一般违法从轻减轻处罚清单，及时指导帮助企业纠错改错</w:t>
      </w:r>
      <w:r>
        <w:rPr>
          <w:rFonts w:hint="eastAsia" w:ascii="楷体_GB2312" w:hAnsi="宋体" w:eastAsia="楷体_GB2312" w:cs="楷体_GB2312"/>
          <w:color w:val="000000"/>
          <w:kern w:val="0"/>
          <w:sz w:val="32"/>
          <w:szCs w:val="32"/>
        </w:rPr>
        <w:t>（责任单位：市司法局等）</w:t>
      </w:r>
      <w:r>
        <w:rPr>
          <w:rFonts w:hint="eastAsia" w:ascii="仿宋_GB2312" w:hAnsi="宋体" w:eastAsia="仿宋_GB2312" w:cs="仿宋_GB2312"/>
          <w:color w:val="000000"/>
          <w:kern w:val="0"/>
          <w:sz w:val="32"/>
          <w:szCs w:val="32"/>
        </w:rPr>
        <w:t>。</w:t>
      </w:r>
    </w:p>
    <w:p>
      <w:pPr>
        <w:spacing w:line="556" w:lineRule="exact"/>
        <w:ind w:firstLine="640" w:firstLineChars="200"/>
        <w:jc w:val="left"/>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（十九）加强政务诚信建设。</w:t>
      </w:r>
      <w:r>
        <w:rPr>
          <w:rFonts w:hint="eastAsia" w:ascii="仿宋_GB2312" w:hAnsi="宋体" w:eastAsia="仿宋_GB2312" w:cs="仿宋_GB2312"/>
          <w:color w:val="000000"/>
          <w:kern w:val="0"/>
          <w:sz w:val="32"/>
          <w:szCs w:val="32"/>
        </w:rPr>
        <w:t>各镇街、各部门不得以行政区划调整、政府换届、机构或者职能调整以及相关责任人更替等为由对企业违约毁约。开展政府机关拖欠企业债务清欠行动，实行领导帮包制，2020年12月底前，拖欠5年以上的债务全部清零，拖欠2年以上的债务清偿80%以上。</w:t>
      </w:r>
      <w:r>
        <w:rPr>
          <w:rFonts w:hint="eastAsia" w:ascii="楷体_GB2312" w:hAnsi="宋体" w:eastAsia="楷体_GB2312" w:cs="楷体_GB2312"/>
          <w:color w:val="000000"/>
          <w:kern w:val="0"/>
          <w:sz w:val="32"/>
          <w:szCs w:val="32"/>
        </w:rPr>
        <w:t>（责任单位：各镇街、各部门）</w:t>
      </w:r>
    </w:p>
    <w:p>
      <w:pPr>
        <w:spacing w:line="556" w:lineRule="exact"/>
        <w:ind w:firstLine="640" w:firstLineChars="200"/>
        <w:rPr>
          <w:rFonts w:ascii="楷体_GB2312" w:hAnsi="宋体" w:eastAsia="楷体_GB2312" w:cs="楷体_GB2312"/>
          <w:color w:val="000000"/>
          <w:kern w:val="0"/>
          <w:sz w:val="32"/>
          <w:szCs w:val="32"/>
        </w:rPr>
      </w:pPr>
      <w:r>
        <w:rPr>
          <w:rFonts w:hint="eastAsia" w:ascii="楷体_GB2312" w:hAnsi="宋体" w:eastAsia="楷体_GB2312" w:cs="楷体_GB2312"/>
          <w:color w:val="000000"/>
          <w:kern w:val="0"/>
          <w:sz w:val="32"/>
          <w:szCs w:val="32"/>
        </w:rPr>
        <w:t>（二十）加强组织领导和督导考核。</w:t>
      </w:r>
      <w:r>
        <w:rPr>
          <w:rFonts w:hint="eastAsia" w:ascii="仿宋_GB2312" w:hAnsi="宋体" w:eastAsia="仿宋_GB2312" w:cs="仿宋_GB2312"/>
          <w:color w:val="000000"/>
          <w:kern w:val="0"/>
          <w:sz w:val="32"/>
          <w:szCs w:val="32"/>
        </w:rPr>
        <w:t>市政府办公室要切实发挥好牵头作用，统筹推进优化营商环境工作。各镇街、各部门要把优化营商环境作为重大任务，主要负责同志负总责亲自抓。各牵头部门要进一步细化工作措施，制定相关配套措施，明确任务分工，压实工作责任，确保本意见各项措施不折不扣贯彻落实。市委办公室、市政府办公室把优化营商环境政策落实情况纳入重点督查任务，跟踪调度督办。市委组织部在经济社会发展综合考核和市直部门（单位）绩效考核中，提高优化营商环境考核权重。市委巡察办要将优化营商环境工作情况纳入巡察范围，及时发现反馈问题，移交问题线索；市纪委监委要将优化营商环境工作情况纳入监督检查范围，对发现的作风漂浮、落实不力，涉嫌违规违纪问题，严肃追责问责。</w:t>
      </w:r>
      <w:r>
        <w:rPr>
          <w:rFonts w:hint="eastAsia" w:ascii="楷体_GB2312" w:hAnsi="宋体" w:eastAsia="楷体_GB2312" w:cs="楷体_GB2312"/>
          <w:color w:val="000000"/>
          <w:kern w:val="0"/>
          <w:sz w:val="32"/>
          <w:szCs w:val="32"/>
        </w:rPr>
        <w:t>（责任单位：各镇街、各部门）</w:t>
      </w:r>
    </w:p>
    <w:p>
      <w:pPr>
        <w:spacing w:line="556" w:lineRule="exact"/>
        <w:jc w:val="left"/>
        <w:rPr>
          <w:rFonts w:ascii="仿宋_GB2312" w:hAnsi="宋体" w:eastAsia="仿宋_GB2312" w:cs="仿宋_GB2312"/>
          <w:color w:val="000000"/>
          <w:kern w:val="0"/>
          <w:sz w:val="32"/>
          <w:szCs w:val="32"/>
        </w:rPr>
      </w:pPr>
    </w:p>
    <w:p>
      <w:pPr>
        <w:spacing w:line="556" w:lineRule="exact"/>
        <w:jc w:val="left"/>
        <w:rPr>
          <w:rFonts w:ascii="仿宋_GB2312" w:hAnsi="宋体" w:eastAsia="仿宋_GB2312" w:cs="仿宋_GB2312"/>
          <w:color w:val="000000"/>
          <w:kern w:val="0"/>
          <w:sz w:val="32"/>
          <w:szCs w:val="32"/>
        </w:rPr>
      </w:pPr>
    </w:p>
    <w:p>
      <w:pPr>
        <w:wordWrap w:val="0"/>
        <w:spacing w:line="556" w:lineRule="exact"/>
        <w:jc w:val="right"/>
      </w:pPr>
      <w:r>
        <w:rPr>
          <w:rFonts w:hint="eastAsia" w:ascii="仿宋_GB2312" w:hAnsi="宋体" w:eastAsia="仿宋_GB2312" w:cs="仿宋_GB2312"/>
          <w:color w:val="000000"/>
          <w:kern w:val="0"/>
          <w:sz w:val="32"/>
          <w:szCs w:val="32"/>
        </w:rPr>
        <w:t xml:space="preserve">滕州市人民政府    </w:t>
      </w:r>
    </w:p>
    <w:p>
      <w:pPr>
        <w:wordWrap w:val="0"/>
        <w:spacing w:line="556" w:lineRule="exact"/>
        <w:jc w:val="right"/>
      </w:pPr>
      <w:r>
        <w:rPr>
          <w:rFonts w:hint="eastAsia" w:ascii="仿宋_GB2312" w:hAnsi="宋体" w:eastAsia="仿宋_GB2312" w:cs="仿宋_GB2312"/>
          <w:color w:val="000000"/>
          <w:kern w:val="0"/>
          <w:sz w:val="32"/>
          <w:szCs w:val="32"/>
        </w:rPr>
        <w:t xml:space="preserve">2020年 月  日    </w:t>
      </w: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firstLine="640" w:firstLineChars="200"/>
        <w:rPr>
          <w:rFonts w:ascii="仿宋_GB2312" w:hAnsi="Calibri" w:eastAsia="仿宋_GB2312" w:cs="Times New Roman"/>
          <w:sz w:val="32"/>
          <w:szCs w:val="32"/>
        </w:rPr>
      </w:pPr>
      <w:r>
        <w:rPr>
          <w:rFonts w:hint="eastAsia" w:ascii="仿宋_GB2312" w:hAnsi="Calibri" w:eastAsia="仿宋_GB2312" w:cs="Times New Roman"/>
          <w:sz w:val="32"/>
          <w:szCs w:val="32"/>
        </w:rPr>
        <w:t>（此页无正文）</w:t>
      </w: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spacing w:line="560" w:lineRule="exact"/>
        <w:ind w:right="640" w:firstLine="640" w:firstLineChars="200"/>
        <w:jc w:val="center"/>
        <w:rPr>
          <w:rFonts w:ascii="仿宋_GB2312" w:hAnsi="Calibri" w:eastAsia="仿宋_GB2312" w:cs="Times New Roman"/>
          <w:sz w:val="32"/>
          <w:szCs w:val="32"/>
        </w:rPr>
      </w:pPr>
    </w:p>
    <w:p>
      <w:pPr>
        <w:spacing w:line="560" w:lineRule="exact"/>
        <w:ind w:right="640"/>
        <w:rPr>
          <w:rFonts w:ascii="仿宋_GB2312" w:hAnsi="Calibri" w:eastAsia="仿宋_GB2312" w:cs="Times New Roman"/>
          <w:sz w:val="32"/>
          <w:szCs w:val="32"/>
        </w:rPr>
      </w:pPr>
    </w:p>
    <w:p>
      <w:pPr>
        <w:widowControl/>
        <w:spacing w:line="200" w:lineRule="exact"/>
        <w:rPr>
          <w:rFonts w:ascii="黑体" w:hAnsi="Calibri" w:eastAsia="黑体" w:cs="Times New Roman"/>
          <w:color w:val="000000"/>
          <w:sz w:val="28"/>
          <w:szCs w:val="21"/>
        </w:rPr>
      </w:pPr>
      <w:r>
        <w:rPr>
          <w:rFonts w:ascii="Calibri" w:hAnsi="Calibri" w:eastAsia="宋体" w:cs="Times New Roman"/>
          <w:szCs w:val="2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40640</wp:posOffset>
                </wp:positionV>
                <wp:extent cx="5400040" cy="25400"/>
                <wp:effectExtent l="0" t="9525" r="10160" b="22225"/>
                <wp:wrapNone/>
                <wp:docPr id="8" name="直线 2"/>
                <wp:cNvGraphicFramePr/>
                <a:graphic xmlns:a="http://schemas.openxmlformats.org/drawingml/2006/main">
                  <a:graphicData uri="http://schemas.microsoft.com/office/word/2010/wordprocessingShape">
                    <wps:wsp>
                      <wps:cNvCnPr>
                        <a:cxnSpLocks noChangeShapeType="true"/>
                      </wps:cNvCnPr>
                      <wps:spPr bwMode="auto">
                        <a:xfrm>
                          <a:off x="0" y="0"/>
                          <a:ext cx="5400040" cy="25400"/>
                        </a:xfrm>
                        <a:prstGeom prst="line">
                          <a:avLst/>
                        </a:prstGeom>
                        <a:noFill/>
                        <a:ln w="19050">
                          <a:solidFill>
                            <a:srgbClr val="000000"/>
                          </a:solidFill>
                          <a:round/>
                        </a:ln>
                        <a:effectLst/>
                      </wps:spPr>
                      <wps:bodyPr/>
                    </wps:wsp>
                  </a:graphicData>
                </a:graphic>
              </wp:anchor>
            </w:drawing>
          </mc:Choice>
          <mc:Fallback>
            <w:pict>
              <v:line id="直线 2" o:spid="_x0000_s1026" o:spt="20" style="position:absolute;left:0pt;margin-left:0pt;margin-top:3.2pt;height:2pt;width:425.2pt;z-index:251661312;mso-width-relative:page;mso-height-relative:page;" filled="f" stroked="t" coordsize="21600,21600" o:gfxdata="UEsFBgAAAAAAAAAAAAAAAAAAAAAAAFBLAwQKAAAAAACHTuJAAAAAAAAAAAAAAAAABAAAAGRycy9Q&#10;SwMEFAAAAAgAh07iQDnpw5zSAAAABQEAAA8AAABkcnMvZG93bnJldi54bWxNj0FPwzAMhe9I/IfI&#10;SNxYOrRNpTSdxCQuu1GmwdFrTFuROFWTdeu/x5zgZFvv6fl75fbqnZpojH1gA8tFBoq4Cbbn1sDh&#10;/fUhBxUTskUXmAzMFGFb3d6UWNhw4Tea6tQqCeFYoIEupaHQOjYdeYyLMBCL9hVGj0nOsdV2xIuE&#10;e6cfs2yjPfYsHzocaNdR812fvaSsP/KXPeaHeXb159Nqd9xP7I25v1tmz6ASXdOfGX7xBR0qYTqF&#10;M9uonAEpkgxsVqBEzNeZLCdxydRVqf/TVz9QSwMEFAAAAAgAh07iQKQSYZTEAQAAaQMAAA4AAABk&#10;cnMvZTJvRG9jLnhtbK1TzW7bMAy+D9g7CLovdoN22Iw4PaToLt0WoO0DMJJsC5NEQVJi51n2Gjvt&#10;ssfpa4xSfrZut6I+CKZIfiS/j1pcT9awnQpRo2v5xazmTDmBUru+5Y8Pt+8+cBYTOAkGnWr5XkV+&#10;vXz7ZjH6Rs1xQCNVYATiYjP6lg8p+aaqohiUhThDrxw5OwwWEpmhr2SAkdCtqeZ1/b4aMUgfUKgY&#10;6fbm4OTLgt91SqSvXRdVYqbl1FsqZyjnJp/VcgFNH8APWhzbgBd0YUE7KnqGuoEEbBv0f1BWi4AR&#10;uzQTaCvsOi1UmYGmuaj/meZ+AK/KLERO9Gea4uvBii+7dWBatpyEcmBJoqfvP55+/mLzzM3oY0Mh&#10;K7cOeToxuXt/h+JbZA5XA7helR4f9p4SU9iqnFQ9y8pG9FRkM35GSWGwTVi4mrpgMyqxwKYiyf4s&#10;iZoSE3R5dVnX9SUpJ8g3z1apAM0p2YeYPim0LP+03GiXGYMGdncx5WagOYXka4e32piiunFspJX9&#10;WF/VJSOi0TJ7c1wM/WZlAttBXpzyHQs/Cwu4dfJQxbicp8rOHUufRj/wuEG5X4cTP6Rnae64e3lh&#10;/rYLi39eyP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OenDnNIAAAAFAQAADwAAAAAAAAABACAA&#10;AAA4AAAAZHJzL2Rvd25yZXYueG1sUEsBAhQAFAAAAAgAh07iQKQSYZTEAQAAaQMAAA4AAAAAAAAA&#10;AQAgAAAANwEAAGRycy9lMm9Eb2MueG1sUEsFBgAAAAAGAAYAWQEAAG0FAAAAAA==&#10;">
                <v:fill on="f" focussize="0,0"/>
                <v:stroke weight="1.5pt" color="#000000" joinstyle="round"/>
                <v:imagedata o:title=""/>
                <o:lock v:ext="edit" aspectratio="f"/>
              </v:line>
            </w:pict>
          </mc:Fallback>
        </mc:AlternateContent>
      </w:r>
    </w:p>
    <w:p>
      <w:pPr>
        <w:widowControl/>
        <w:spacing w:line="340" w:lineRule="exact"/>
        <w:ind w:left="1124" w:hanging="1124" w:hangingChars="400"/>
        <w:rPr>
          <w:rFonts w:ascii="仿宋_GB2312" w:hAnsi="Calibri" w:eastAsia="仿宋_GB2312" w:cs="Times New Roman"/>
          <w:color w:val="000000"/>
          <w:sz w:val="28"/>
          <w:szCs w:val="28"/>
        </w:rPr>
      </w:pPr>
      <w:r>
        <w:rPr>
          <w:rFonts w:hint="eastAsia" w:ascii="仿宋_GB2312" w:hAnsi="Calibri" w:eastAsia="仿宋_GB2312" w:cs="Times New Roman"/>
          <w:b/>
          <w:color w:val="000000"/>
          <w:sz w:val="28"/>
          <w:szCs w:val="28"/>
        </w:rPr>
        <w:t>抄  送：</w:t>
      </w:r>
      <w:r>
        <w:rPr>
          <w:rFonts w:hint="eastAsia" w:ascii="仿宋_GB2312" w:hAnsi="Calibri" w:eastAsia="仿宋_GB2312" w:cs="Times New Roman"/>
          <w:color w:val="000000"/>
          <w:sz w:val="28"/>
          <w:szCs w:val="28"/>
        </w:rPr>
        <w:t>市委各部门，市人大常委会办公室，市政协办公室，市监察委，市法院，市检察院，市人武部。</w:t>
      </w:r>
    </w:p>
    <w:p>
      <w:pPr>
        <w:widowControl/>
        <w:spacing w:line="240" w:lineRule="exact"/>
        <w:ind w:right="29" w:rightChars="14" w:firstLine="560"/>
        <w:rPr>
          <w:rFonts w:ascii="仿宋_GB2312" w:hAnsi="Calibri" w:eastAsia="仿宋_GB2312" w:cs="Times New Roman"/>
          <w:color w:val="000000"/>
          <w:sz w:val="28"/>
          <w:szCs w:val="28"/>
        </w:rPr>
      </w:pPr>
      <w:r>
        <w:rPr>
          <w:rFonts w:ascii="Calibri" w:hAnsi="Calibri" w:eastAsia="宋体" w:cs="Times New Roman"/>
          <w:szCs w:val="2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76200</wp:posOffset>
                </wp:positionV>
                <wp:extent cx="5400040" cy="0"/>
                <wp:effectExtent l="0" t="0" r="0" b="0"/>
                <wp:wrapNone/>
                <wp:docPr id="7" name="直线 3"/>
                <wp:cNvGraphicFramePr/>
                <a:graphic xmlns:a="http://schemas.openxmlformats.org/drawingml/2006/main">
                  <a:graphicData uri="http://schemas.microsoft.com/office/word/2010/wordprocessingShape">
                    <wps:wsp>
                      <wps:cNvCnPr>
                        <a:cxnSpLocks noChangeShapeType="true"/>
                      </wps:cNvCnPr>
                      <wps:spPr bwMode="auto">
                        <a:xfrm>
                          <a:off x="0" y="0"/>
                          <a:ext cx="5400040" cy="0"/>
                        </a:xfrm>
                        <a:prstGeom prst="line">
                          <a:avLst/>
                        </a:prstGeom>
                        <a:noFill/>
                        <a:ln w="9525">
                          <a:solidFill>
                            <a:srgbClr val="000000"/>
                          </a:solidFill>
                          <a:round/>
                        </a:ln>
                        <a:effectLst/>
                      </wps:spPr>
                      <wps:bodyPr/>
                    </wps:wsp>
                  </a:graphicData>
                </a:graphic>
              </wp:anchor>
            </w:drawing>
          </mc:Choice>
          <mc:Fallback>
            <w:pict>
              <v:line id="直线 3" o:spid="_x0000_s1026" o:spt="20" style="position:absolute;left:0pt;margin-left:0pt;margin-top:6pt;height:0pt;width:425.2pt;z-index:251662336;mso-width-relative:page;mso-height-relative:page;" filled="f" stroked="t" coordsize="21600,21600" o:gfxdata="UEsFBgAAAAAAAAAAAAAAAAAAAAAAAFBLAwQKAAAAAACHTuJAAAAAAAAAAAAAAAAABAAAAGRycy9Q&#10;SwMEFAAAAAgAh07iQC/IcEHUAAAABgEAAA8AAABkcnMvZG93bnJldi54bWxNj0tPwzAQhO9I/Q/W&#10;VuJSUbvhoSrE6QHIjUsLiOs2XpKIeJ3G7gN+fRdxgNNqZ1az3xSrk+/VgcbYBbawmBtQxHVwHTcW&#10;Xl+qqyWomJAd9oHJwhdFWJWTiwJzF468psMmNUpCOOZooU1pyLWOdUse4zwMxOJ9hNFjknVstBvx&#10;KOG+15kxd9pjx/KhxYEeWqo/N3tvIVZvtKu+Z/XMvF83gbLd4/MTWns5XZh7UIlO6e8YfvAFHUph&#10;2oY9u6h6C1IkiZrJFHd5a25AbX8FXRb6P355BlBLAwQUAAAACACHTuJAQD5XRMMBAABkAwAADgAA&#10;AGRycy9lMm9Eb2MueG1srVPBbtswDL0P2D8Iui92s2ZrjTg9pOgu3Rag3QcwsmwLk0SBUmLnW/Yb&#10;O+2yz+lvTFLirN1uw3wQTJF85Hukljej0WwvySu0Nb+YlZxJK7BRtqv5l8e7N1ec+QC2AY1W1vwg&#10;Pb9ZvX61HFwl59ijbiSxCGJ9Nbia9yG4qii86KUBP0MnbXS2SAZCNKkrGoIhohtdzMvyXTEgNY5Q&#10;SO/j7e3RyVcZv22lCJ/b1svAdM1jbyGflM9tOovVEqqOwPVKnNqAf+jCgLKx6BnqFgKwHam/oIwS&#10;hB7bMBNoCmxbJWTmENlclH+weejBycwliuPdWSb//2DFp/2GmGpq/p4zCyaO6Onb96cfP9nbpM3g&#10;fBVD1nZDiZ0Y7YO7R/HVM4vrHmwnc4+PBxcTA+1kSipeZCXDu1hkO3zEJobBLmDWamzJJNSoAhvz&#10;SA7nkcgxMBEvF5dlWV7GyYnJV0A1JTry4YNEw9JPzbWySS2oYH/vQ2oEqikkXVu8U1rniWvLhppf&#10;L+aLnOBRqyY5U5inbrvWxPaQdiZ/mVX0PA8j3NnmWETblCfzup0qT6yPEm6xOWxokiaOMvd2Wru0&#10;K8/tLODvx7H6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C/IcEHUAAAABgEAAA8AAAAAAAAAAQAg&#10;AAAAOAAAAGRycy9kb3ducmV2LnhtbFBLAQIUABQAAAAIAIdO4kBAPldEwwEAAGQDAAAOAAAAAAAA&#10;AAEAIAAAADkBAABkcnMvZTJvRG9jLnhtbFBLBQYAAAAABgAGAFkBAABuBQAAAAA=&#10;">
                <v:fill on="f" focussize="0,0"/>
                <v:stroke color="#000000" joinstyle="round"/>
                <v:imagedata o:title=""/>
                <o:lock v:ext="edit" aspectratio="f"/>
              </v:line>
            </w:pict>
          </mc:Fallback>
        </mc:AlternateContent>
      </w:r>
    </w:p>
    <w:p>
      <w:pPr>
        <w:widowControl/>
        <w:spacing w:line="340" w:lineRule="exact"/>
        <w:rPr>
          <w:rFonts w:ascii="仿宋_GB2312" w:hAnsi="Calibri" w:eastAsia="仿宋_GB2312" w:cs="Times New Roman"/>
          <w:sz w:val="32"/>
          <w:szCs w:val="32"/>
        </w:rPr>
      </w:pPr>
      <w:r>
        <w:rPr>
          <w:rFonts w:ascii="Calibri" w:hAnsi="Calibri" w:eastAsia="宋体" w:cs="Times New Roman"/>
          <w:szCs w:val="2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3" name="直线 4"/>
                <wp:cNvGraphicFramePr/>
                <a:graphic xmlns:a="http://schemas.openxmlformats.org/drawingml/2006/main">
                  <a:graphicData uri="http://schemas.microsoft.com/office/word/2010/wordprocessingShape">
                    <wps:wsp>
                      <wps:cNvCnPr>
                        <a:cxnSpLocks noChangeShapeType="true"/>
                      </wps:cNvCnPr>
                      <wps:spPr bwMode="auto">
                        <a:xfrm>
                          <a:off x="0" y="0"/>
                          <a:ext cx="5400040" cy="7620"/>
                        </a:xfrm>
                        <a:prstGeom prst="line">
                          <a:avLst/>
                        </a:prstGeom>
                        <a:noFill/>
                        <a:ln w="19050">
                          <a:solidFill>
                            <a:srgbClr val="000000"/>
                          </a:solidFill>
                          <a:round/>
                        </a:ln>
                        <a:effectLst/>
                      </wps:spPr>
                      <wps:bodyPr/>
                    </wps:wsp>
                  </a:graphicData>
                </a:graphic>
              </wp:anchor>
            </w:drawing>
          </mc:Choice>
          <mc:Fallback>
            <w:pict>
              <v:line id="直线 4" o:spid="_x0000_s1026" o:spt="20" style="position:absolute;left:0pt;margin-left:0pt;margin-top:19.8pt;height:0.6pt;width:425.2pt;z-index:251663360;mso-width-relative:page;mso-height-relative:page;" filled="f" stroked="t" coordsize="21600,21600" o:gfxdata="UEsFBgAAAAAAAAAAAAAAAAAAAAAAAFBLAwQKAAAAAACHTuJAAAAAAAAAAAAAAAAABAAAAGRycy9Q&#10;SwMEFAAAAAgAh07iQAdAgCjVAAAABgEAAA8AAABkcnMvZG93bnJldi54bWxNj8FOwzAQRO9I/IO1&#10;SNyoXUgrN8SpRCUuvRGqwtGNlyQiXkexmzZ/z3KC42pGb94W26vvxYRj7AIZWC4UCKQ6uI4aA4f3&#10;1wcNIiZLzvaB0MCMEbbl7U1hcxcu9IZTlRrBEIq5NdCmNORSxrpFb+MiDEicfYXR28Tn2Eg32gvD&#10;fS8flVpLbzvihdYOuGux/q7OnimrD/2yt/owz331ucl2x/1E3pj7u6V6BpHwmv7K8KvP6lCy0ymc&#10;yUXRG+BHkoGnzRoEp3qlMhAnA5nSIMtC/tcvfwBQSwMEFAAAAAgAh07iQLD3TivIAQAAaAMAAA4A&#10;AABkcnMvZTJvRG9jLnhtbK1TS3ITMRDdU8UdVNrjmRgnwJTHWTgVNgFclXCAtqTxqJDUKkn2jM/C&#10;NVix4Ti5Bi35QxJ2FF6oLHX3637v9cyvR2vYToWo0bX8YlJzppxAqd2m5V8fbt+85ywmcBIMOtXy&#10;vYr8evH61XzwjZpij0aqwAjExWbwLe9T8k1VRdErC3GCXjkKdhgsJLqGTSUDDIRuTTWt66tqwCB9&#10;QKFipNebQ5AvCn7XKZG+dF1UiZmW02ypnKGc63xWizk0mwC+1+I4BvzDFBa0o6ZnqBtIwLZB/wVl&#10;tQgYsUsTgbbCrtNCFQ7E5qJ+wea+B68KFxIn+rNM8f/Bis+7VWBatvwtZw4sWfT4/cfjz19slrUZ&#10;fGwoZelWIbMTo7v3dyi+ReZw2YPbqDLjw95TYQpblYuqZ1X5Ej01WQ+fUFIabBMWrcYu2IxKKrCx&#10;WLI/W6LGxAQ9Xs7qup6Rc4Ji766mxbEKmlOtDzF9VGhZ/tNyo10WDBrY3cWUZ4HmlJKfHd5qY4rp&#10;xrGBNvZDfVmXiohGyxzNeTFs1ksT2A7y3pRfYUaRp2kBt04euhiX61RZuWPrE/ODjGuU+1U4yUN2&#10;luGOq5f35em9iPjnA1n8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AdAgCjVAAAABgEAAA8AAAAA&#10;AAAAAQAgAAAAOAAAAGRycy9kb3ducmV2LnhtbFBLAQIUABQAAAAIAIdO4kCw904ryAEAAGgDAAAO&#10;AAAAAAAAAAEAIAAAADoBAABkcnMvZTJvRG9jLnhtbFBLBQYAAAAABgAGAFkBAAB0BQAAAAA=&#10;">
                <v:fill on="f" focussize="0,0"/>
                <v:stroke weight="1.5pt" color="#000000" joinstyle="round"/>
                <v:imagedata o:title=""/>
                <o:lock v:ext="edit" aspectratio="f"/>
              </v:line>
            </w:pict>
          </mc:Fallback>
        </mc:AlternateContent>
      </w:r>
      <w:r>
        <w:rPr>
          <w:rFonts w:hint="eastAsia" w:ascii="仿宋_GB2312" w:hAnsi="Calibri" w:eastAsia="仿宋_GB2312" w:cs="Times New Roman"/>
          <w:color w:val="000000"/>
          <w:sz w:val="28"/>
          <w:szCs w:val="28"/>
        </w:rPr>
        <w:t>滕州市人民政府办公室                     2020年 月 日印发</w:t>
      </w:r>
      <w:r>
        <w:rPr>
          <w:rFonts w:ascii="Calibri" w:hAnsi="Calibri" w:eastAsia="宋体" w:cs="Times New Roman"/>
          <w:szCs w:val="22"/>
        </w:rP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7827645</wp:posOffset>
                </wp:positionV>
                <wp:extent cx="1371600" cy="1287780"/>
                <wp:effectExtent l="4445" t="4445" r="14605" b="22225"/>
                <wp:wrapNone/>
                <wp:docPr id="2" name="矩形 13"/>
                <wp:cNvGraphicFramePr/>
                <a:graphic xmlns:a="http://schemas.openxmlformats.org/drawingml/2006/main">
                  <a:graphicData uri="http://schemas.microsoft.com/office/word/2010/wordprocessingShape">
                    <wps:wsp>
                      <wps:cNvSpPr>
                        <a:spLocks noChangeArrowheads="true"/>
                      </wps:cNvSpPr>
                      <wps:spPr bwMode="auto">
                        <a:xfrm>
                          <a:off x="0" y="0"/>
                          <a:ext cx="1371600" cy="1287780"/>
                        </a:xfrm>
                        <a:prstGeom prst="rect">
                          <a:avLst/>
                        </a:prstGeom>
                        <a:solidFill>
                          <a:srgbClr val="FFFFFF"/>
                        </a:solidFill>
                        <a:ln w="9525">
                          <a:solidFill>
                            <a:srgbClr val="FFFFFF"/>
                          </a:solidFill>
                          <a:miter lim="800000"/>
                        </a:ln>
                        <a:effectLst/>
                      </wps:spPr>
                      <wps:txbx>
                        <w:txbxContent>
                          <w:p>
                            <w:pPr>
                              <w:jc w:val="center"/>
                              <w:rPr>
                                <w:rFonts w:ascii="Calibri" w:hAnsi="Calibri" w:eastAsia="宋体" w:cs="Times New Roman"/>
                                <w:szCs w:val="22"/>
                              </w:rPr>
                            </w:pPr>
                          </w:p>
                        </w:txbxContent>
                      </wps:txbx>
                      <wps:bodyPr rot="0" vert="horz" wrap="square" lIns="91440" tIns="45720" rIns="91440" bIns="45720" anchor="t" anchorCtr="false" upright="true">
                        <a:noAutofit/>
                      </wps:bodyPr>
                    </wps:wsp>
                  </a:graphicData>
                </a:graphic>
              </wp:anchor>
            </w:drawing>
          </mc:Choice>
          <mc:Fallback>
            <w:pict>
              <v:rect id="矩形 13" o:spid="_x0000_s1026" o:spt="1" style="position:absolute;left:0pt;margin-left:342pt;margin-top:616.35pt;height:101.4pt;width:108pt;z-index:251660288;mso-width-relative:page;mso-height-relative:page;" fillcolor="#FFFFFF" filled="t" stroked="t" coordsize="21600,21600" o:gfxdata="UEsFBgAAAAAAAAAAAAAAAAAAAAAAAFBLAwQKAAAAAACHTuJAAAAAAAAAAAAAAAAABAAAAGRycy9Q&#10;SwMEFAAAAAgAh07iQJ4vCe7ZAAAADQEAAA8AAABkcnMvZG93bnJldi54bWxNj0tPwzAQhO9I/Adr&#10;kbhRu2laSohTiRLEhUMpcN/GSxLhRxS7L349ywmOOzOa/aZcnZwVBxpjH7yG6USBIN8E0/tWw/vb&#10;080SREzoDdrgScOZIqyqy4sSCxOO/pUO29QKLvGxQA1dSkMhZWw6chgnYSDP3mcYHSY+x1aaEY9c&#10;7qzMlFpIh73nDx0OtO6o+drunYYN4uPm+7lpHurzS17T+qOmYLW+vpqqexCJTukvDL/4jA4VM+3C&#10;3psorIbFMuctiY1slt2C4MidUiztWMpn8znIqpT/V1Q/UEsDBBQAAAAIAIdO4kBH3EmeKAIAAEYE&#10;AAAOAAAAZHJzL2Uyb0RvYy54bWytU12O0zAQfkfiDpbfaX623XajpqtVV0VIC6y0cADXcRILxzZj&#10;t8lyGSTeOATHQVyDsZuWLrwghB8sj8f+/M33jZfXQ6fIXoCTRpc0m6SUCM1NJXVT0vfvNi8WlDjP&#10;dMWU0aKkj8LR69XzZ8veFiI3rVGVAIIg2hW9LWnrvS2SxPFWdMxNjBUak7WBjnkMoUkqYD2idyrJ&#10;0/Qy6Q1UFgwXzuHu7SFJVxG/rgX3b+vaCU9USZGbjzPEeRvmZLVkRQPMtpKPNNg/sOiY1PjoCeqW&#10;eUZ2IP+A6iQH40ztJ9x0ialryUWsAavJ0t+qeWiZFbEWFMfZk0zu/8HyN/t7ILIqaU6JZh1a9OPz&#10;1+/fvpDsIojTW1fgmQd7D6E8Z+8M/+CINuuW6UbcAJi+FaxCSh52IlxJntwJgcPbZNu/NhXCs503&#10;Uaqhhi5goghkiI48nhwRgyccN7OLeXaZonEcc1m+mM8X0bOEFcfrFpx/KUxHwqKkgJZHeLa/cz7Q&#10;YcXxSKzAKFltpFIxgGa7VkD2DNtjE0esAAs9P6Y06Ut6NctnEflJzv0dRCc99rmSXUkXaRjjO0oH&#10;HiJ26sj3qNhBfD9sh9GHrakeUUgwhy7GX4eL1sAnSnrs4JK6jzsGghL1SqMfV9l0Glo+BtPZPMcA&#10;zjPb8wzTHKHQRUoOy7XHqGbKIeDOgmxafC16HBhrc4M+1jIqHBgfyI3uY7NG4cePFX7DeRxP/fr+&#10;q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eLwnu2QAAAA0BAAAPAAAAAAAAAAEAIAAAADgAAABk&#10;cnMvZG93bnJldi54bWxQSwECFAAUAAAACACHTuJAR9xJnigCAABGBAAADgAAAAAAAAABACAAAAA+&#10;AQAAZHJzL2Uyb0RvYy54bWxQSwUGAAAAAAYABgBZAQAA2AUAAAAA&#10;">
                <v:fill on="t" focussize="0,0"/>
                <v:stroke color="#FFFFFF" miterlimit="8" joinstyle="miter"/>
                <v:imagedata o:title=""/>
                <o:lock v:ext="edit" aspectratio="f"/>
                <v:textbox>
                  <w:txbxContent>
                    <w:p>
                      <w:pPr>
                        <w:jc w:val="center"/>
                        <w:rPr>
                          <w:rFonts w:ascii="Calibri" w:hAnsi="Calibri" w:eastAsia="宋体" w:cs="Times New Roman"/>
                          <w:szCs w:val="22"/>
                        </w:rPr>
                      </w:pPr>
                    </w:p>
                  </w:txbxContent>
                </v:textbox>
              </v:rect>
            </w:pict>
          </mc:Fallback>
        </mc:AlternateConten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3"/>
                          </w:pPr>
                          <w:r>
                            <w:rPr>
                              <w:rFonts w:hint="eastAsia" w:asciiTheme="minorEastAsia" w:hAnsiTheme="minorEastAsia" w:cstheme="minorEastAsia"/>
                              <w:sz w:val="24"/>
                            </w:rPr>
                            <w:fldChar w:fldCharType="begin"/>
                          </w:r>
                          <w:r>
                            <w:rPr>
                              <w:rFonts w:hint="eastAsia" w:asciiTheme="minorEastAsia" w:hAnsiTheme="minorEastAsia" w:cstheme="minorEastAsia"/>
                              <w:sz w:val="24"/>
                            </w:rPr>
                            <w:instrText xml:space="preserve"> PAGE  \* MERGEFORMAT </w:instrText>
                          </w:r>
                          <w:r>
                            <w:rPr>
                              <w:rFonts w:hint="eastAsia" w:asciiTheme="minorEastAsia" w:hAnsiTheme="minorEastAsia" w:cstheme="minorEastAsia"/>
                              <w:sz w:val="24"/>
                            </w:rPr>
                            <w:fldChar w:fldCharType="separate"/>
                          </w:r>
                          <w:r>
                            <w:rPr>
                              <w:rFonts w:asciiTheme="minorEastAsia" w:hAnsiTheme="minorEastAsia" w:cstheme="minorEastAsia"/>
                              <w:sz w:val="24"/>
                            </w:rPr>
                            <w:t>- 13 -</w:t>
                          </w:r>
                          <w:r>
                            <w:rPr>
                              <w:rFonts w:hint="eastAsia" w:asciiTheme="minorEastAsia" w:hAnsiTheme="minorEastAsia" w:cstheme="minorEastAsia"/>
                              <w:sz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npu/GgIAACc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Uq7IcujLpK0uoycrdtuuX3Vr&#10;6xM29fYileD4qsEoaxbiI/PQBsaH3uMDDqksWtreomRv/ae/3ad8UIYoJS20VlGDx0CJemtAZZLl&#10;YPjB2A6GOeg7C/GCHsySTfzgoxpM6a3+iEewTD0kUwGFmeHoBqIG8y7C64N4TFwsl1cfQnQsrs3G&#10;8Z7ahFZwy0MEuhn0hNEFGJCVHKgx09a/nCT3X/2c9fS+Fz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B6em78aAgAAJwQAAA4AAAAAAAAAAQAgAAAANQEAAGRycy9lMm9Eb2MueG1sUEsFBgAA&#10;AAAGAAYAWQEAAMEFAAAAAA==&#10;">
              <v:fill on="f" focussize="0,0"/>
              <v:stroke on="f" weight="0.5pt"/>
              <v:imagedata o:title=""/>
              <o:lock v:ext="edit" aspectratio="f"/>
              <v:textbox inset="0mm,0mm,0mm,0mm" style="mso-fit-shape-to-text:t;">
                <w:txbxContent>
                  <w:p>
                    <w:pPr>
                      <w:pStyle w:val="3"/>
                    </w:pPr>
                    <w:r>
                      <w:rPr>
                        <w:rFonts w:hint="eastAsia" w:asciiTheme="minorEastAsia" w:hAnsiTheme="minorEastAsia" w:cstheme="minorEastAsia"/>
                        <w:sz w:val="24"/>
                      </w:rPr>
                      <w:fldChar w:fldCharType="begin"/>
                    </w:r>
                    <w:r>
                      <w:rPr>
                        <w:rFonts w:hint="eastAsia" w:asciiTheme="minorEastAsia" w:hAnsiTheme="minorEastAsia" w:cstheme="minorEastAsia"/>
                        <w:sz w:val="24"/>
                      </w:rPr>
                      <w:instrText xml:space="preserve"> PAGE  \* MERGEFORMAT </w:instrText>
                    </w:r>
                    <w:r>
                      <w:rPr>
                        <w:rFonts w:hint="eastAsia" w:asciiTheme="minorEastAsia" w:hAnsiTheme="minorEastAsia" w:cstheme="minorEastAsia"/>
                        <w:sz w:val="24"/>
                      </w:rPr>
                      <w:fldChar w:fldCharType="separate"/>
                    </w:r>
                    <w:r>
                      <w:rPr>
                        <w:rFonts w:asciiTheme="minorEastAsia" w:hAnsiTheme="minorEastAsia" w:cstheme="minorEastAsia"/>
                        <w:sz w:val="24"/>
                      </w:rPr>
                      <w:t>- 13 -</w:t>
                    </w:r>
                    <w:r>
                      <w:rPr>
                        <w:rFonts w:hint="eastAsia" w:asciiTheme="minorEastAsia" w:hAnsiTheme="minorEastAsia" w:cstheme="minorEastAsia"/>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F85127"/>
    <w:rsid w:val="000353EA"/>
    <w:rsid w:val="00036D90"/>
    <w:rsid w:val="00230347"/>
    <w:rsid w:val="003C2F8B"/>
    <w:rsid w:val="004A7A7C"/>
    <w:rsid w:val="00574DB7"/>
    <w:rsid w:val="005912A9"/>
    <w:rsid w:val="006516B2"/>
    <w:rsid w:val="006961C6"/>
    <w:rsid w:val="009A0D68"/>
    <w:rsid w:val="009C1E24"/>
    <w:rsid w:val="00A43F89"/>
    <w:rsid w:val="00B8182B"/>
    <w:rsid w:val="00BA0EB4"/>
    <w:rsid w:val="00C16B4A"/>
    <w:rsid w:val="00C9247D"/>
    <w:rsid w:val="00CC058E"/>
    <w:rsid w:val="00D04729"/>
    <w:rsid w:val="00D60725"/>
    <w:rsid w:val="00D6485E"/>
    <w:rsid w:val="00D72EBB"/>
    <w:rsid w:val="00E1050E"/>
    <w:rsid w:val="00E15FDB"/>
    <w:rsid w:val="00F94B4D"/>
    <w:rsid w:val="00FB5EAC"/>
    <w:rsid w:val="015E6065"/>
    <w:rsid w:val="04A9746B"/>
    <w:rsid w:val="056A6DA7"/>
    <w:rsid w:val="08DF31D3"/>
    <w:rsid w:val="08FB679D"/>
    <w:rsid w:val="09336F44"/>
    <w:rsid w:val="0C3D792E"/>
    <w:rsid w:val="0CEB2DEF"/>
    <w:rsid w:val="0E9C11B1"/>
    <w:rsid w:val="0EA1003D"/>
    <w:rsid w:val="0F700F42"/>
    <w:rsid w:val="12044120"/>
    <w:rsid w:val="12BB2C83"/>
    <w:rsid w:val="13266C21"/>
    <w:rsid w:val="13B4564B"/>
    <w:rsid w:val="14CA2486"/>
    <w:rsid w:val="1596641B"/>
    <w:rsid w:val="17A7513D"/>
    <w:rsid w:val="18506354"/>
    <w:rsid w:val="1B1024EB"/>
    <w:rsid w:val="1B140104"/>
    <w:rsid w:val="1F8B797D"/>
    <w:rsid w:val="1FD6B9ED"/>
    <w:rsid w:val="215549E2"/>
    <w:rsid w:val="21EC0379"/>
    <w:rsid w:val="254F5017"/>
    <w:rsid w:val="275C17FF"/>
    <w:rsid w:val="279267AB"/>
    <w:rsid w:val="2BAA1597"/>
    <w:rsid w:val="2C8523C4"/>
    <w:rsid w:val="2F3245E6"/>
    <w:rsid w:val="2FB10801"/>
    <w:rsid w:val="31681AB4"/>
    <w:rsid w:val="31EB2BA7"/>
    <w:rsid w:val="321C2CFD"/>
    <w:rsid w:val="341C212E"/>
    <w:rsid w:val="38D7298A"/>
    <w:rsid w:val="38DB6682"/>
    <w:rsid w:val="39850522"/>
    <w:rsid w:val="3A72463B"/>
    <w:rsid w:val="3AEA62BB"/>
    <w:rsid w:val="3B467A24"/>
    <w:rsid w:val="3B5D39E3"/>
    <w:rsid w:val="3DC35FC2"/>
    <w:rsid w:val="3E843268"/>
    <w:rsid w:val="3F042324"/>
    <w:rsid w:val="40BE3024"/>
    <w:rsid w:val="4234093B"/>
    <w:rsid w:val="425B6E34"/>
    <w:rsid w:val="427A7E5D"/>
    <w:rsid w:val="433E28D8"/>
    <w:rsid w:val="440417BA"/>
    <w:rsid w:val="458E326A"/>
    <w:rsid w:val="461305C7"/>
    <w:rsid w:val="47BE50DA"/>
    <w:rsid w:val="49953DFD"/>
    <w:rsid w:val="4D8C2E70"/>
    <w:rsid w:val="4EE03729"/>
    <w:rsid w:val="4F111C81"/>
    <w:rsid w:val="4F3B6E7A"/>
    <w:rsid w:val="50D920DC"/>
    <w:rsid w:val="51DA5D75"/>
    <w:rsid w:val="56F85127"/>
    <w:rsid w:val="58927709"/>
    <w:rsid w:val="5B0C64CC"/>
    <w:rsid w:val="5B865FCB"/>
    <w:rsid w:val="5D7D3A5E"/>
    <w:rsid w:val="5FBE4437"/>
    <w:rsid w:val="60A81213"/>
    <w:rsid w:val="60C473DB"/>
    <w:rsid w:val="616F7BB4"/>
    <w:rsid w:val="642253D8"/>
    <w:rsid w:val="67C66C00"/>
    <w:rsid w:val="68BE6130"/>
    <w:rsid w:val="69EF2B01"/>
    <w:rsid w:val="6A497C8A"/>
    <w:rsid w:val="6BDB1E8E"/>
    <w:rsid w:val="6BFD2110"/>
    <w:rsid w:val="6F792B3A"/>
    <w:rsid w:val="6FE238CD"/>
    <w:rsid w:val="716D3F06"/>
    <w:rsid w:val="71DD4F86"/>
    <w:rsid w:val="73A1696F"/>
    <w:rsid w:val="74281762"/>
    <w:rsid w:val="74832DCA"/>
    <w:rsid w:val="75C50F17"/>
    <w:rsid w:val="75D823A2"/>
    <w:rsid w:val="76D67D8A"/>
    <w:rsid w:val="776C20C0"/>
    <w:rsid w:val="77F22927"/>
    <w:rsid w:val="78782968"/>
    <w:rsid w:val="789F3E64"/>
    <w:rsid w:val="79AB2018"/>
    <w:rsid w:val="7A6F628B"/>
    <w:rsid w:val="7C0C68EB"/>
    <w:rsid w:val="7CD853C8"/>
    <w:rsid w:val="7DD73342"/>
    <w:rsid w:val="FF5DD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character" w:customStyle="1" w:styleId="8">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1177</Words>
  <Characters>6712</Characters>
  <Lines>55</Lines>
  <Paragraphs>15</Paragraphs>
  <TotalTime>0</TotalTime>
  <ScaleCrop>false</ScaleCrop>
  <LinksUpToDate>false</LinksUpToDate>
  <CharactersWithSpaces>7874</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2020-07-24T15:13:00Z</dcterms:created>
  <dc:creator> 船长HEU◕‿◕♂</dc:creator>
  <cp:lastModifiedBy>爱新觉罗-琛</cp:lastModifiedBy>
  <cp:lastPrinted>2020-09-11T15:32:00Z</cp:lastPrinted>
  <dcterms:modified xsi:type="dcterms:W3CDTF">2021-12-17T17:15:04Z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